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jpeg" ContentType="image/jpeg"/>
  <Override PartName="/word/media/image2.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Cs w:val="20"/>
          <w:u w:val="single"/>
        </w:rPr>
      </w:pPr>
      <w:r>
        <w:rPr>
          <w:rFonts w:cs="Arial" w:ascii="Arial" w:hAnsi="Arial"/>
          <w:b/>
          <w:bCs/>
          <w:szCs w:val="20"/>
          <w:u w:val="single"/>
        </w:rPr>
        <w:t>Background:</w:t>
      </w:r>
    </w:p>
    <w:p>
      <w:pPr>
        <w:pStyle w:val="Normal"/>
        <w:rPr>
          <w:rFonts w:ascii="Arial" w:hAnsi="Arial" w:cs="Arial"/>
          <w:b/>
          <w:bCs/>
          <w:szCs w:val="20"/>
          <w:u w:val="single"/>
        </w:rPr>
      </w:pPr>
      <w:r>
        <w:rPr>
          <w:rFonts w:cs="Arial" w:ascii="Arial" w:hAnsi="Arial"/>
          <w:b/>
          <w:bCs/>
          <w:szCs w:val="20"/>
          <w:u w:val="single"/>
        </w:rPr>
      </w:r>
    </w:p>
    <w:p>
      <w:pPr>
        <w:pStyle w:val="Normal"/>
        <w:rPr>
          <w:rFonts w:ascii="Arial" w:hAnsi="Arial" w:cs="Arial"/>
          <w:sz w:val="22"/>
          <w:szCs w:val="20"/>
        </w:rPr>
      </w:pPr>
      <w:r>
        <w:rPr>
          <w:rFonts w:cs="Arial" w:ascii="Arial" w:hAnsi="Arial"/>
          <w:sz w:val="22"/>
          <w:szCs w:val="20"/>
        </w:rPr>
        <w:t>It was discovered that changing header information on an invoice resulted in a restatement of the invoice date.  This aggravated the ability to identify duplicate invoices as the five by five system match would not be effective and items would be more likely to be deemed not to be duplicates on the suspected duplicate report.  A technological “fix” was implemented on October 10, 2001 to ensure that the original invoice date was maintained with other information was changed.</w:t>
      </w:r>
    </w:p>
    <w:p>
      <w:pPr>
        <w:pStyle w:val="Normal"/>
        <w:rPr>
          <w:rFonts w:ascii="Arial" w:hAnsi="Arial" w:cs="Arial"/>
          <w:sz w:val="22"/>
          <w:szCs w:val="20"/>
        </w:rPr>
      </w:pPr>
      <w:r>
        <w:rPr>
          <w:rFonts w:cs="Arial" w:ascii="Arial" w:hAnsi="Arial"/>
          <w:sz w:val="22"/>
          <w:szCs w:val="20"/>
        </w:rPr>
      </w:r>
    </w:p>
    <w:p>
      <w:pPr>
        <w:pStyle w:val="Normal"/>
        <w:rPr>
          <w:rFonts w:ascii="Arial" w:hAnsi="Arial" w:cs="Arial"/>
          <w:szCs w:val="20"/>
        </w:rPr>
      </w:pPr>
      <w:r>
        <w:rPr>
          <w:rFonts w:cs="Arial" w:ascii="Arial" w:hAnsi="Arial"/>
          <w:sz w:val="22"/>
          <w:szCs w:val="20"/>
        </w:rPr>
        <w:t>Our testing showed that the fix was effective and the invoice date did not change after October 10, 2001.  Several other issues were uncovered and are described below.  The majority of the errors uncovered were the result of operator error.</w:t>
      </w:r>
    </w:p>
    <w:p>
      <w:pPr>
        <w:pStyle w:val="Normal"/>
        <w:rPr>
          <w:rFonts w:ascii="Arial" w:hAnsi="Arial" w:cs="Arial"/>
          <w:b/>
          <w:bCs/>
          <w:szCs w:val="20"/>
          <w:u w:val="single"/>
        </w:rPr>
      </w:pPr>
      <w:r>
        <w:rPr>
          <w:rFonts w:cs="Arial" w:ascii="Arial" w:hAnsi="Arial"/>
          <w:b/>
          <w:bCs/>
          <w:szCs w:val="20"/>
          <w:u w:val="single"/>
        </w:rPr>
      </w:r>
    </w:p>
    <w:p>
      <w:pPr>
        <w:pStyle w:val="Normal"/>
        <w:rPr>
          <w:rFonts w:ascii="Arial" w:hAnsi="Arial" w:cs="Arial"/>
          <w:b/>
          <w:bCs/>
          <w:szCs w:val="20"/>
          <w:u w:val="single"/>
        </w:rPr>
      </w:pPr>
      <w:r>
        <w:rPr>
          <w:rFonts w:cs="Arial" w:ascii="Arial" w:hAnsi="Arial"/>
          <w:b/>
          <w:bCs/>
          <w:szCs w:val="20"/>
          <w:u w:val="single"/>
        </w:rPr>
        <w:t>Approach:</w:t>
      </w:r>
    </w:p>
    <w:p>
      <w:pPr>
        <w:pStyle w:val="Normal"/>
        <w:rPr>
          <w:rFonts w:ascii="Arial" w:hAnsi="Arial" w:cs="Arial"/>
          <w:b/>
          <w:bCs/>
          <w:szCs w:val="20"/>
          <w:u w:val="single"/>
        </w:rPr>
      </w:pPr>
      <w:r>
        <w:rPr>
          <w:rFonts w:cs="Arial" w:ascii="Arial" w:hAnsi="Arial"/>
          <w:b/>
          <w:bCs/>
          <w:szCs w:val="20"/>
          <w:u w:val="single"/>
        </w:rPr>
      </w:r>
    </w:p>
    <w:p>
      <w:pPr>
        <w:pStyle w:val="Normal"/>
        <w:rPr>
          <w:rFonts w:ascii="Arial" w:hAnsi="Arial" w:cs="Arial"/>
          <w:sz w:val="22"/>
          <w:szCs w:val="20"/>
        </w:rPr>
      </w:pPr>
      <w:r>
        <w:rPr>
          <w:rFonts w:cs="Arial" w:ascii="Arial" w:hAnsi="Arial"/>
          <w:sz w:val="22"/>
          <w:szCs w:val="20"/>
        </w:rPr>
        <w:t xml:space="preserve">We reviewed a sample of invoices with company codes altered by the end user prior to coding and approval to ensure that the original invoice dates were maintained.  This problem impacted on SourceNet's ability to prevent duplicate payments during input and detect duplicate payments from their daily reports.  </w:t>
      </w:r>
    </w:p>
    <w:p>
      <w:pPr>
        <w:pStyle w:val="Normal"/>
        <w:rPr>
          <w:rFonts w:ascii="Arial" w:hAnsi="Arial" w:cs="Arial"/>
          <w:sz w:val="22"/>
          <w:szCs w:val="20"/>
        </w:rPr>
      </w:pPr>
      <w:r>
        <w:rPr>
          <w:rFonts w:cs="Arial" w:ascii="Arial" w:hAnsi="Arial"/>
          <w:sz w:val="22"/>
          <w:szCs w:val="20"/>
        </w:rPr>
      </w:r>
    </w:p>
    <w:p>
      <w:pPr>
        <w:pStyle w:val="Normal"/>
        <w:rPr>
          <w:rFonts w:ascii="Arial" w:hAnsi="Arial" w:eastAsia="Arial Unicode MS" w:cs="Arial"/>
          <w:sz w:val="22"/>
        </w:rPr>
      </w:pPr>
      <w:r>
        <w:rPr>
          <w:rFonts w:cs="Arial" w:ascii="Arial" w:hAnsi="Arial"/>
          <w:sz w:val="22"/>
          <w:szCs w:val="20"/>
        </w:rPr>
        <w:t>We tested 5 transactions before the fix on October 10 (to fully understand the nature of the problem) and 25 items after the fix.</w:t>
      </w:r>
    </w:p>
    <w:p>
      <w:pPr>
        <w:pStyle w:val="Normal"/>
        <w:rPr/>
      </w:pPr>
      <w:r>
        <w:rPr>
          <w:rFonts w:cs="Arial" w:ascii="Arial" w:hAnsi="Arial"/>
        </w:rPr>
        <w:t> </w:t>
      </w:r>
      <w:r>
        <w:rPr>
          <w:rFonts w:cs="Arial" w:ascii="Arial" w:hAnsi="Arial"/>
        </w:rPr>
        <w:br/>
      </w:r>
      <w:r>
        <w:rPr>
          <w:rFonts w:cs="Arial" w:ascii="Arial" w:hAnsi="Arial"/>
          <w:b/>
          <w:bCs/>
          <w:u w:val="single"/>
        </w:rPr>
        <w:t>Results:</w:t>
      </w:r>
    </w:p>
    <w:p>
      <w:pPr>
        <w:pStyle w:val="Header"/>
        <w:tabs>
          <w:tab w:val="clear" w:pos="4320"/>
          <w:tab w:val="clear" w:pos="8640"/>
        </w:tabs>
        <w:rPr>
          <w:rFonts w:ascii="Arial" w:hAnsi="Arial" w:cs="Arial"/>
        </w:rPr>
      </w:pPr>
      <w:r>
        <w:rPr>
          <w:rFonts w:cs="Arial" w:ascii="Arial" w:hAnsi="Arial"/>
        </w:rPr>
        <w:t> </w:t>
      </w:r>
    </w:p>
    <w:p>
      <w:pPr>
        <w:pStyle w:val="Normal"/>
        <w:rPr>
          <w:rFonts w:ascii="Arial" w:hAnsi="Arial" w:cs="Arial"/>
          <w:sz w:val="22"/>
        </w:rPr>
      </w:pPr>
      <w:r>
        <w:rPr>
          <w:rFonts w:cs="Arial" w:ascii="Arial" w:hAnsi="Arial"/>
          <w:sz w:val="22"/>
          <w:szCs w:val="20"/>
          <w:u w:val="single"/>
        </w:rPr>
        <w:t>Sample prior to October 10, 2001</w:t>
      </w:r>
    </w:p>
    <w:p>
      <w:pPr>
        <w:pStyle w:val="Normal"/>
        <w:numPr>
          <w:ilvl w:val="0"/>
          <w:numId w:val="1"/>
        </w:numPr>
        <w:spacing w:before="100" w:after="100"/>
        <w:rPr>
          <w:rFonts w:ascii="Arial" w:hAnsi="Arial" w:cs="Arial"/>
          <w:sz w:val="22"/>
        </w:rPr>
      </w:pPr>
      <w:r>
        <w:rPr>
          <w:rFonts w:cs="Arial" w:ascii="Arial" w:hAnsi="Arial"/>
          <w:sz w:val="22"/>
          <w:szCs w:val="20"/>
        </w:rPr>
        <w:t>On 3 of the items, the dates were changed to the date that the company code was changed as expected</w:t>
      </w:r>
      <w:r>
        <w:rPr>
          <w:rFonts w:cs="Arial" w:ascii="Arial" w:hAnsi="Arial"/>
          <w:sz w:val="22"/>
        </w:rPr>
        <w:t xml:space="preserve"> </w:t>
      </w:r>
    </w:p>
    <w:p>
      <w:pPr>
        <w:pStyle w:val="Normal"/>
        <w:numPr>
          <w:ilvl w:val="0"/>
          <w:numId w:val="1"/>
        </w:numPr>
        <w:spacing w:before="100" w:after="100"/>
        <w:rPr>
          <w:rFonts w:ascii="Arial" w:hAnsi="Arial" w:cs="Arial"/>
          <w:sz w:val="22"/>
        </w:rPr>
      </w:pPr>
      <w:r>
        <w:rPr>
          <w:rFonts w:cs="Arial" w:ascii="Arial" w:hAnsi="Arial"/>
          <w:sz w:val="22"/>
          <w:szCs w:val="20"/>
        </w:rPr>
        <w:t xml:space="preserve">2 items no longer existed in SAP  - When the company code on these items were changed by the user, the system deleted the item altogether due to a “super-user” ability.  This ability deletes all trace of the old item.  This ability has since been removed from the system.  </w:t>
      </w:r>
    </w:p>
    <w:p>
      <w:pPr>
        <w:pStyle w:val="Normal"/>
        <w:spacing w:before="100" w:after="100"/>
        <w:ind w:start="720" w:end="0"/>
        <w:rPr>
          <w:rFonts w:ascii="Arial" w:hAnsi="Arial" w:cs="Arial"/>
          <w:sz w:val="22"/>
        </w:rPr>
      </w:pPr>
      <w:r>
        <w:rPr>
          <w:rFonts w:cs="Arial" w:ascii="Arial" w:hAnsi="Arial"/>
          <w:sz w:val="22"/>
          <w:szCs w:val="20"/>
        </w:rPr>
        <w:t>The user also changed the three items above, but there was a further error that sent the old item back to SSG (probably a vendor extension issue).  When SSG received the item, they made appropriate changes that allowed the items to remain in the system in a deleted park queue.</w:t>
      </w:r>
    </w:p>
    <w:p>
      <w:pPr>
        <w:pStyle w:val="Normal"/>
        <w:rPr>
          <w:rFonts w:ascii="Arial" w:hAnsi="Arial" w:cs="Arial"/>
          <w:sz w:val="22"/>
        </w:rPr>
      </w:pPr>
      <w:r>
        <w:rPr>
          <w:rFonts w:cs="Arial" w:ascii="Arial" w:hAnsi="Arial"/>
          <w:sz w:val="22"/>
          <w:szCs w:val="20"/>
          <w:u w:val="single"/>
        </w:rPr>
        <w:t>Sample after October 10, 2001</w:t>
      </w:r>
    </w:p>
    <w:p>
      <w:pPr>
        <w:pStyle w:val="Normal"/>
        <w:rPr>
          <w:rFonts w:ascii="Arial" w:hAnsi="Arial" w:cs="Arial"/>
          <w:sz w:val="22"/>
        </w:rPr>
      </w:pPr>
      <w:r>
        <w:rPr>
          <w:rFonts w:cs="Arial" w:ascii="Arial" w:hAnsi="Arial"/>
          <w:sz w:val="22"/>
        </w:rPr>
        <w:t> </w:t>
      </w:r>
    </w:p>
    <w:p>
      <w:pPr>
        <w:sectPr>
          <w:headerReference w:type="default" r:id="rId2"/>
          <w:footerReference w:type="default" r:id="rId3"/>
          <w:type w:val="nextPage"/>
          <w:pgSz w:w="12240" w:h="15840"/>
          <w:pgMar w:left="1800" w:right="1800" w:gutter="0" w:header="720" w:top="1440" w:footer="720" w:bottom="1800"/>
          <w:pgNumType w:fmt="decimal"/>
          <w:formProt w:val="false"/>
          <w:textDirection w:val="lrTb"/>
          <w:docGrid w:type="default" w:linePitch="360" w:charSpace="0"/>
        </w:sectPr>
        <w:pStyle w:val="Normal"/>
        <w:numPr>
          <w:ilvl w:val="0"/>
          <w:numId w:val="3"/>
        </w:numPr>
        <w:spacing w:before="100" w:after="100"/>
        <w:rPr>
          <w:rFonts w:ascii="Arial" w:hAnsi="Arial" w:cs="Arial"/>
          <w:sz w:val="22"/>
        </w:rPr>
      </w:pPr>
      <w:r>
        <w:rPr>
          <w:rFonts w:cs="Arial" w:ascii="Arial" w:hAnsi="Arial"/>
          <w:sz w:val="22"/>
          <w:szCs w:val="20"/>
        </w:rPr>
        <w:t>The invoice retained the original invoice date for 20 of the items (as anticipated by the fix)</w:t>
      </w:r>
      <w:r>
        <w:rPr>
          <w:rFonts w:cs="Arial" w:ascii="Arial" w:hAnsi="Arial"/>
          <w:sz w:val="22"/>
        </w:rPr>
        <w:t>.</w:t>
      </w:r>
    </w:p>
    <w:p>
      <w:pPr>
        <w:pStyle w:val="Normal"/>
        <w:numPr>
          <w:ilvl w:val="0"/>
          <w:numId w:val="3"/>
        </w:numPr>
        <w:spacing w:before="100" w:after="100"/>
        <w:rPr>
          <w:rFonts w:ascii="Arial" w:hAnsi="Arial" w:cs="Arial"/>
          <w:sz w:val="22"/>
        </w:rPr>
      </w:pPr>
      <w:r>
        <w:rPr>
          <w:rFonts w:cs="Arial" w:ascii="Arial" w:hAnsi="Arial"/>
          <w:sz w:val="22"/>
          <w:szCs w:val="20"/>
        </w:rPr>
        <w:t>1 item could not be located</w:t>
      </w:r>
      <w:r>
        <w:rPr>
          <w:rFonts w:cs="Arial" w:ascii="Arial" w:hAnsi="Arial"/>
          <w:sz w:val="22"/>
        </w:rPr>
        <w:t>.</w:t>
      </w:r>
    </w:p>
    <w:p>
      <w:pPr>
        <w:pStyle w:val="Normal"/>
        <w:numPr>
          <w:ilvl w:val="1"/>
          <w:numId w:val="3"/>
        </w:numPr>
        <w:spacing w:before="100" w:after="100"/>
        <w:rPr>
          <w:rFonts w:ascii="Arial" w:hAnsi="Arial" w:cs="Arial"/>
          <w:sz w:val="22"/>
        </w:rPr>
      </w:pPr>
      <w:r>
        <w:rPr>
          <w:rFonts w:cs="Arial" w:ascii="Arial" w:hAnsi="Arial"/>
          <w:sz w:val="22"/>
          <w:szCs w:val="20"/>
        </w:rPr>
        <w:t>It appears that this invoice was deleted by the system.  It is unclear why this occurred.  SourceNet is continuing to investigate.</w:t>
      </w:r>
    </w:p>
    <w:p>
      <w:pPr>
        <w:pStyle w:val="Normal"/>
        <w:numPr>
          <w:ilvl w:val="0"/>
          <w:numId w:val="3"/>
        </w:numPr>
        <w:spacing w:before="100" w:after="100"/>
        <w:rPr>
          <w:rFonts w:ascii="Arial" w:hAnsi="Arial" w:cs="Arial"/>
          <w:sz w:val="22"/>
        </w:rPr>
      </w:pPr>
      <w:r>
        <w:rPr>
          <w:rFonts w:cs="Arial" w:ascii="Arial" w:hAnsi="Arial"/>
          <w:sz w:val="22"/>
          <w:szCs w:val="20"/>
        </w:rPr>
        <w:t>The company code was not changed on 5 of the items</w:t>
      </w:r>
      <w:r>
        <w:rPr>
          <w:rFonts w:cs="Arial" w:ascii="Arial" w:hAnsi="Arial"/>
          <w:sz w:val="22"/>
        </w:rPr>
        <w:t>.</w:t>
      </w:r>
    </w:p>
    <w:p>
      <w:pPr>
        <w:pStyle w:val="Normal"/>
        <w:numPr>
          <w:ilvl w:val="1"/>
          <w:numId w:val="3"/>
        </w:numPr>
        <w:spacing w:before="100" w:after="100"/>
        <w:rPr>
          <w:rFonts w:ascii="Arial" w:hAnsi="Arial" w:cs="Arial"/>
          <w:sz w:val="22"/>
        </w:rPr>
      </w:pPr>
      <w:r>
        <w:rPr>
          <w:rFonts w:cs="Arial" w:ascii="Arial" w:hAnsi="Arial"/>
          <w:sz w:val="22"/>
          <w:szCs w:val="20"/>
        </w:rPr>
        <w:t>Through our discussions with SourceNet, this appears to be an operator error in each case.  Although the end-user changed the company codes prior to approval and coding, the vendor was not associated with the revised company.  SourceNet should have extended the vendor and manually over-ridden the codes to reflect the revised companies.  A manual journal entry must occur to rectify the problem.</w:t>
      </w:r>
      <w:r>
        <w:rPr>
          <w:rFonts w:cs="Arial" w:ascii="Arial" w:hAnsi="Arial"/>
          <w:sz w:val="22"/>
        </w:rPr>
        <w:t xml:space="preserve"> </w:t>
      </w:r>
    </w:p>
    <w:p>
      <w:pPr>
        <w:pStyle w:val="Normal"/>
        <w:numPr>
          <w:ilvl w:val="1"/>
          <w:numId w:val="3"/>
        </w:numPr>
        <w:spacing w:before="100" w:after="100"/>
        <w:rPr>
          <w:rFonts w:ascii="Arial" w:hAnsi="Arial" w:cs="Arial"/>
          <w:sz w:val="22"/>
        </w:rPr>
      </w:pPr>
      <w:r>
        <w:rPr>
          <w:rFonts w:cs="Arial" w:ascii="Arial" w:hAnsi="Arial"/>
          <w:sz w:val="22"/>
          <w:szCs w:val="20"/>
        </w:rPr>
        <w:t xml:space="preserve">Due to the large number of exceptions found (5 out of a sample of 25) we selected an additional 25 items for testing.   </w:t>
      </w:r>
    </w:p>
    <w:p>
      <w:pPr>
        <w:pStyle w:val="Normal"/>
        <w:numPr>
          <w:ilvl w:val="2"/>
          <w:numId w:val="3"/>
        </w:numPr>
        <w:spacing w:before="100" w:after="100"/>
        <w:rPr>
          <w:rFonts w:ascii="Arial" w:hAnsi="Arial" w:cs="Arial"/>
          <w:sz w:val="22"/>
        </w:rPr>
      </w:pPr>
      <w:r>
        <w:rPr>
          <w:rFonts w:cs="Arial" w:ascii="Arial" w:hAnsi="Arial"/>
          <w:sz w:val="22"/>
        </w:rPr>
        <w:t>Original invoice date maintained for all.</w:t>
      </w:r>
    </w:p>
    <w:p>
      <w:pPr>
        <w:pStyle w:val="Normal"/>
        <w:numPr>
          <w:ilvl w:val="2"/>
          <w:numId w:val="3"/>
        </w:numPr>
        <w:spacing w:before="100" w:after="100"/>
        <w:rPr>
          <w:rFonts w:ascii="Arial" w:hAnsi="Arial" w:cs="Arial"/>
          <w:sz w:val="22"/>
        </w:rPr>
      </w:pPr>
      <w:r>
        <w:rPr>
          <w:rFonts w:cs="Arial" w:ascii="Arial" w:hAnsi="Arial"/>
          <w:sz w:val="22"/>
          <w:szCs w:val="20"/>
        </w:rPr>
        <w:t>The company code was not changed on 1 item</w:t>
      </w:r>
      <w:r>
        <w:rPr>
          <w:rFonts w:cs="Arial" w:ascii="Arial" w:hAnsi="Arial"/>
          <w:sz w:val="22"/>
        </w:rPr>
        <w:t>.</w:t>
      </w:r>
    </w:p>
    <w:p>
      <w:pPr>
        <w:pStyle w:val="Normal"/>
        <w:numPr>
          <w:ilvl w:val="2"/>
          <w:numId w:val="3"/>
        </w:numPr>
        <w:spacing w:before="100" w:after="100"/>
        <w:rPr>
          <w:rFonts w:ascii="Arial" w:hAnsi="Arial" w:cs="Arial"/>
          <w:sz w:val="22"/>
        </w:rPr>
      </w:pPr>
      <w:r>
        <w:rPr>
          <w:rFonts w:cs="Arial" w:ascii="Arial" w:hAnsi="Arial"/>
          <w:sz w:val="22"/>
          <w:szCs w:val="20"/>
        </w:rPr>
        <w:t xml:space="preserve">1 invoice was renumbered with the letter “A” attached to the number.  This was explained as an operator error that is against SourceNet procedure. </w:t>
      </w:r>
    </w:p>
    <w:p>
      <w:pPr>
        <w:pStyle w:val="Normal"/>
        <w:numPr>
          <w:ilvl w:val="0"/>
          <w:numId w:val="3"/>
        </w:numPr>
        <w:spacing w:before="100" w:after="100"/>
        <w:rPr>
          <w:rFonts w:ascii="Arial" w:hAnsi="Arial" w:cs="Arial"/>
          <w:sz w:val="22"/>
        </w:rPr>
      </w:pPr>
      <w:r>
        <w:rPr>
          <w:rFonts w:cs="Arial" w:ascii="Arial" w:hAnsi="Arial"/>
          <w:sz w:val="22"/>
          <w:szCs w:val="20"/>
        </w:rPr>
        <w:t xml:space="preserve">1 suspected duplicate was found.  </w:t>
      </w:r>
    </w:p>
    <w:p>
      <w:pPr>
        <w:pStyle w:val="Normal"/>
        <w:numPr>
          <w:ilvl w:val="1"/>
          <w:numId w:val="3"/>
        </w:numPr>
        <w:spacing w:before="100" w:after="100"/>
        <w:rPr>
          <w:rFonts w:ascii="Arial" w:hAnsi="Arial" w:cs="Arial"/>
          <w:sz w:val="22"/>
        </w:rPr>
      </w:pPr>
      <w:r>
        <w:rPr>
          <w:rFonts w:cs="Arial" w:ascii="Arial" w:hAnsi="Arial"/>
          <w:sz w:val="22"/>
          <w:szCs w:val="20"/>
        </w:rPr>
        <w:t>SourceNet was notified; a duplicate was confirmed and reversed right away.  This duplicate appeared on the October 11, 2001 suspected duplicate report but was missed due to operator error.</w:t>
      </w:r>
    </w:p>
    <w:p>
      <w:pPr>
        <w:pStyle w:val="Normal"/>
        <w:ind w:start="360" w:end="0"/>
        <w:rPr>
          <w:rFonts w:ascii="Arial" w:hAnsi="Arial" w:cs="Arial"/>
          <w:sz w:val="22"/>
        </w:rPr>
      </w:pPr>
      <w:r>
        <w:rPr>
          <w:rFonts w:cs="Arial" w:ascii="Arial" w:hAnsi="Arial"/>
          <w:sz w:val="22"/>
        </w:rPr>
      </w:r>
    </w:p>
    <w:p>
      <w:pPr>
        <w:pStyle w:val="Normal"/>
        <w:rPr>
          <w:rFonts w:ascii="Arial" w:hAnsi="Arial" w:cs="Arial"/>
          <w:b/>
          <w:bCs/>
          <w:u w:val="single"/>
        </w:rPr>
      </w:pPr>
      <w:r>
        <w:rPr>
          <w:rFonts w:cs="Arial" w:ascii="Arial" w:hAnsi="Arial"/>
          <w:b/>
          <w:bCs/>
          <w:u w:val="single"/>
        </w:rPr>
        <w:t>Recommendations:</w:t>
      </w:r>
    </w:p>
    <w:p>
      <w:pPr>
        <w:pStyle w:val="Normal"/>
        <w:rPr>
          <w:rFonts w:ascii="Arial" w:hAnsi="Arial" w:cs="Arial"/>
          <w:b/>
          <w:bCs/>
          <w:u w:val="single"/>
        </w:rPr>
      </w:pPr>
      <w:r>
        <w:rPr>
          <w:rFonts w:cs="Arial" w:ascii="Arial" w:hAnsi="Arial"/>
          <w:b/>
          <w:bCs/>
          <w:u w:val="single"/>
        </w:rPr>
      </w:r>
    </w:p>
    <w:p>
      <w:pPr>
        <w:pStyle w:val="Normal"/>
        <w:numPr>
          <w:ilvl w:val="0"/>
          <w:numId w:val="2"/>
        </w:numPr>
        <w:rPr>
          <w:rFonts w:ascii="Arial" w:hAnsi="Arial" w:cs="Arial"/>
          <w:sz w:val="22"/>
          <w:u w:val="single"/>
        </w:rPr>
      </w:pPr>
      <w:r>
        <w:rPr>
          <w:rFonts w:cs="Arial" w:ascii="Arial" w:hAnsi="Arial"/>
          <w:sz w:val="22"/>
        </w:rPr>
        <w:t>Review all invoices with company code changes by the end-user after October 10, 2001 to ensure that all errors are identified.</w:t>
      </w:r>
    </w:p>
    <w:p>
      <w:pPr>
        <w:pStyle w:val="Normal"/>
        <w:ind w:start="360" w:end="0"/>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sz w:val="22"/>
          <w:u w:val="single"/>
        </w:rPr>
      </w:pPr>
      <w:r>
        <w:rPr>
          <w:rFonts w:cs="Arial" w:ascii="Arial" w:hAnsi="Arial"/>
          <w:sz w:val="22"/>
        </w:rPr>
        <w:t>Prepare and post the journal entries necessary to correct the problems identified.</w:t>
      </w:r>
    </w:p>
    <w:p>
      <w:pPr>
        <w:pStyle w:val="Normal"/>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sz w:val="22"/>
          <w:u w:val="single"/>
        </w:rPr>
      </w:pPr>
      <w:r>
        <w:rPr>
          <w:rFonts w:cs="Arial" w:ascii="Arial" w:hAnsi="Arial"/>
          <w:sz w:val="22"/>
        </w:rPr>
        <w:t>Review suspected duplicate reports prior to the fix on the invoice date for items deemed to be not duplicates as a result of different invoice dates.</w:t>
      </w:r>
    </w:p>
    <w:p>
      <w:pPr>
        <w:pStyle w:val="Normal"/>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sz w:val="22"/>
          <w:u w:val="single"/>
        </w:rPr>
      </w:pPr>
      <w:r>
        <w:rPr>
          <w:rFonts w:cs="Arial" w:ascii="Arial" w:hAnsi="Arial"/>
          <w:sz w:val="22"/>
        </w:rPr>
        <w:t>Develop a means of tracking each invoice from receipt in the document center to posting or return to the vendor to ensure that all invoices are accounted for and none “disappear”.</w:t>
      </w:r>
    </w:p>
    <w:p>
      <w:pPr>
        <w:pStyle w:val="Normal"/>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b/>
          <w:bCs/>
          <w:sz w:val="22"/>
          <w:u w:val="single"/>
        </w:rPr>
      </w:pPr>
      <w:r>
        <w:rPr>
          <w:rFonts w:cs="Arial" w:ascii="Arial" w:hAnsi="Arial"/>
          <w:sz w:val="22"/>
        </w:rPr>
        <w:t>Revise training strategy to incorporate the errors described above.</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eastAsia="en-CA"/>
      </w:rPr>
    </w:pPr>
    <w:r>
      <w:rPr>
        <w:sz w:val="20"/>
        <w:lang w:val="en-CA" w:eastAsia="en-CA"/>
      </w:rPr>
      <w:drawing>
        <wp:anchor behindDoc="1" distT="0" distB="0" distL="114935" distR="114935" simplePos="0" locked="0" layoutInCell="1" allowOverlap="1" relativeHeight="2">
          <wp:simplePos x="0" y="0"/>
          <wp:positionH relativeFrom="column">
            <wp:posOffset>-914400</wp:posOffset>
          </wp:positionH>
          <wp:positionV relativeFrom="paragraph">
            <wp:posOffset>-167640</wp:posOffset>
          </wp:positionV>
          <wp:extent cx="2286000" cy="504825"/>
          <wp:effectExtent l="0" t="0" r="0" b="0"/>
          <wp:wrapNone/>
          <wp:docPr id="1" name="EAS%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20Logo" descr="" title=""/>
                  <pic:cNvPicPr>
                    <a:picLocks noChangeAspect="1" noChangeArrowheads="1"/>
                  </pic:cNvPicPr>
                </pic:nvPicPr>
                <pic:blipFill>
                  <a:blip r:embed="rId1"/>
                  <a:srcRect l="-11" t="-50" r="-11" b="-50"/>
                  <a:stretch>
                    <a:fillRect/>
                  </a:stretch>
                </pic:blipFill>
                <pic:spPr bwMode="auto">
                  <a:xfrm>
                    <a:off x="0" y="0"/>
                    <a:ext cx="2286000" cy="504825"/>
                  </a:xfrm>
                  <a:prstGeom prst="rect">
                    <a:avLst/>
                  </a:prstGeom>
                  <a:noFill/>
                </pic:spPr>
              </pic:pic>
            </a:graphicData>
          </a:graphic>
        </wp:anchor>
      </w:drawing>
      <w:object w:dxaOrig="1109" w:dyaOrig="11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32pt;margin-top:-22.2pt;width:55.45pt;height:55.45pt;mso-wrap-distance-left:9.05pt;mso-wrap-distance-right:9.05pt;mso-position-horizontal-relative:text;mso-position-vertical-relative:text" filled="f" o:ole="">
          <v:imagedata r:id="rId3" o:title=""/>
          <w10:wrap type="topAndBottom"/>
        </v:shape>
        <o:OLEObject Type="Embed" ProgID="" ShapeID="ole_rId2" DrawAspect="Content" ObjectID="_198488201" r:id="rId2"/>
      </w:obje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eastAsia="en-CA"/>
      </w:rPr>
    </w:pPr>
    <w:r>
      <w:rPr>
        <w:sz w:val="20"/>
        <w:lang w:val="en-CA" w:eastAsia="en-CA"/>
      </w:rPr>
      <w:drawing>
        <wp:anchor behindDoc="1" distT="0" distB="0" distL="114935" distR="114935" simplePos="0" locked="0" layoutInCell="1" allowOverlap="1" relativeHeight="4">
          <wp:simplePos x="0" y="0"/>
          <wp:positionH relativeFrom="column">
            <wp:posOffset>-914400</wp:posOffset>
          </wp:positionH>
          <wp:positionV relativeFrom="paragraph">
            <wp:posOffset>-167640</wp:posOffset>
          </wp:positionV>
          <wp:extent cx="2286000" cy="504825"/>
          <wp:effectExtent l="0" t="0" r="0" b="0"/>
          <wp:wrapNone/>
          <wp:docPr id="2" name="EAS%20Logo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20Logo Copy 1" descr="" title=""/>
                  <pic:cNvPicPr>
                    <a:picLocks noChangeAspect="1" noChangeArrowheads="1"/>
                  </pic:cNvPicPr>
                </pic:nvPicPr>
                <pic:blipFill>
                  <a:blip r:embed="rId1"/>
                  <a:srcRect l="-11" t="-50" r="-11" b="-50"/>
                  <a:stretch>
                    <a:fillRect/>
                  </a:stretch>
                </pic:blipFill>
                <pic:spPr bwMode="auto">
                  <a:xfrm>
                    <a:off x="0" y="0"/>
                    <a:ext cx="2286000" cy="504825"/>
                  </a:xfrm>
                  <a:prstGeom prst="rect">
                    <a:avLst/>
                  </a:prstGeom>
                  <a:noFill/>
                </pic:spPr>
              </pic:pic>
            </a:graphicData>
          </a:graphic>
        </wp:anchor>
      </w:drawing>
      <w:object w:dxaOrig="1109" w:dyaOrig="11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32pt;margin-top:-22.2pt;width:55.45pt;height:55.45pt;mso-wrap-distance-left:9.05pt;mso-wrap-distance-right:9.05pt;mso-position-horizontal-relative:text;mso-position-vertical-relative:text" filled="f" o:ole="">
          <v:imagedata r:id="rId3" o:title=""/>
          <w10:wrap type="topAndBottom"/>
        </v:shape>
        <o:OLEObject Type="Embed" ProgID="" ShapeID="ole_rId2" DrawAspect="Content" ObjectID="_129869335" r:id="rId2"/>
      </w:objec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28"/>
      </w:rPr>
    </w:pPr>
    <w:r>
      <w:rPr>
        <w:rFonts w:cs="Arial" w:ascii="Arial" w:hAnsi="Arial"/>
        <w:b/>
        <w:bCs/>
        <w:sz w:val="28"/>
      </w:rPr>
      <w:t>Testing Results for Company Code Changes</w:t>
    </w:r>
  </w:p>
  <w:p>
    <w:pPr>
      <w:pStyle w:val="Header"/>
      <w:jc w:val="end"/>
      <w:rPr>
        <w:b/>
        <w:bCs/>
        <w:i/>
        <w:i/>
        <w:iCs/>
      </w:rPr>
    </w:pPr>
    <w:r>
      <w:rPr>
        <w:b/>
        <w:bCs/>
        <w:i/>
        <w:iCs/>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rPr>
    </w:pPr>
    <w:r>
      <w:rPr>
        <w:b/>
        <w:bCs/>
        <w:i/>
        <w:i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decimal"/>
      <w:lvlText w:val="%1."/>
      <w:lvlJc w:val="start"/>
      <w:pPr>
        <w:tabs>
          <w:tab w:val="num" w:pos="720"/>
        </w:tabs>
        <w:ind w:start="720" w:hanging="360"/>
      </w:pPr>
      <w:rPr>
        <w:i w:val="false"/>
        <w:b w:val="false"/>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b w:val="false"/>
      <w:i w:val="false"/>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oleObject" Target="embeddings/oleObject1.bin"/><Relationship Id="rId3" Type="http://schemas.openxmlformats.org/officeDocument/2006/relationships/image" Target="media/image2.wmf"/>
</Relationships>
</file>

<file path=word/_rels/foot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oleObject" Target="embeddings/oleObject2.bin"/><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2001-10-23T20:55:00Z</dcterms:created>
  <dc:creator>swilson8</dc:creator>
  <dc:description/>
  <dc:language>en-CA</dc:language>
  <cp:lastModifiedBy>swilson8</cp:lastModifiedBy>
  <cp:lastPrinted>2001-10-24T16:42:00Z</cp:lastPrinted>
  <dcterms:modified xsi:type="dcterms:W3CDTF">2001-10-26T13:13:00Z</dcterms:modified>
  <cp:revision>9</cp:revision>
  <dc:subject/>
  <dc:title>We conducted an audit of the problem mentioned below in order to ensure that the dates are no longer changed when the company </dc:title>
</cp:coreProperties>
</file>