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rPr>
      </w:pPr>
      <w:hyperlink r:id="rId3">
        <w:r>
          <w:drawing>
            <wp:anchor behindDoc="0" distT="0" distB="0" distL="114935" distR="114935" simplePos="0" locked="0" layoutInCell="0" allowOverlap="1" relativeHeight="2">
              <wp:simplePos x="0" y="0"/>
              <wp:positionH relativeFrom="column">
                <wp:posOffset>-634365</wp:posOffset>
              </wp:positionH>
              <wp:positionV relativeFrom="paragraph">
                <wp:posOffset>-568960</wp:posOffset>
              </wp:positionV>
              <wp:extent cx="1554480" cy="699770"/>
              <wp:effectExtent l="0" t="0" r="0" b="0"/>
              <wp:wrapTopAndBottom/>
              <wp:docPr id="1" name="aco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s" descr="" title=""/>
                      <pic:cNvPicPr>
                        <a:picLocks noChangeAspect="1" noChangeArrowheads="1"/>
                      </pic:cNvPicPr>
                    </pic:nvPicPr>
                    <pic:blipFill>
                      <a:blip r:embed="rId2"/>
                      <a:srcRect l="-12" t="-26" r="-12" b="-26"/>
                      <a:stretch>
                        <a:fillRect/>
                      </a:stretch>
                    </pic:blipFill>
                    <pic:spPr bwMode="auto">
                      <a:xfrm>
                        <a:off x="0" y="0"/>
                        <a:ext cx="1554480" cy="699770"/>
                      </a:xfrm>
                      <a:prstGeom prst="rect">
                        <a:avLst/>
                      </a:prstGeom>
                      <a:noFill/>
                    </pic:spPr>
                  </pic:pic>
                </a:graphicData>
              </a:graphic>
            </wp:anchor>
          </w:drawing>
        </w:r>
      </w:hyperlink>
      <w:r>
        <w:rPr>
          <w:rStyle w:val="Hyperlink"/>
          <w:b/>
          <w:bCs/>
          <w:sz w:val="24"/>
        </w:rPr>
        <w:t>www.coserv.com</w:t>
      </w:r>
    </w:p>
    <w:p>
      <w:pPr>
        <w:pStyle w:val="Normal"/>
        <w:jc w:val="center"/>
        <w:rPr>
          <w:b/>
          <w:bCs/>
          <w:sz w:val="24"/>
        </w:rPr>
      </w:pPr>
      <w:r>
        <w:rPr>
          <w:b/>
          <w:bCs/>
          <w:sz w:val="24"/>
        </w:rPr>
        <w:t>Request for Proposal</w:t>
      </w:r>
    </w:p>
    <w:p>
      <w:pPr>
        <w:pStyle w:val="Normal"/>
        <w:jc w:val="center"/>
        <w:rPr>
          <w:b/>
          <w:bCs/>
          <w:sz w:val="24"/>
        </w:rPr>
      </w:pPr>
      <w:r>
        <w:rPr>
          <w:b/>
          <w:bCs/>
          <w:sz w:val="24"/>
        </w:rPr>
        <w:t xml:space="preserve">Firm Natural Gas Supply for Local Distribution </w:t>
      </w:r>
    </w:p>
    <w:p>
      <w:pPr>
        <w:pStyle w:val="Normal"/>
        <w:jc w:val="center"/>
        <w:rPr>
          <w:b/>
          <w:bCs/>
          <w:sz w:val="24"/>
        </w:rPr>
      </w:pPr>
      <w:r>
        <w:rPr>
          <w:b/>
          <w:bCs/>
          <w:sz w:val="24"/>
        </w:rPr>
      </w:r>
    </w:p>
    <w:p>
      <w:pPr>
        <w:pStyle w:val="Normal"/>
        <w:rPr/>
      </w:pPr>
      <w:r>
        <w:rPr>
          <w:b/>
          <w:bCs/>
        </w:rPr>
        <w:t>Scope:</w:t>
      </w:r>
      <w:r>
        <w:rPr/>
        <w:t xml:space="preserve">     CoServ Gas, LTD, the natural gas distribution unit of CoServ—Denton County Electric Cooperative, requests proposals for monthly firm deliveries to meet its partial or full requirements for service to its residential and commercial customers in the North Texas area.  CoServ anticipates that its gas purchases will be transported on the TXU’s Lone Star Pipeline (TXU LSP) system(s) under its existing firm transportation agreement.</w:t>
      </w:r>
    </w:p>
    <w:p>
      <w:pPr>
        <w:pStyle w:val="Normal"/>
        <w:rPr/>
      </w:pPr>
      <w:r>
        <w:rPr/>
      </w:r>
    </w:p>
    <w:p>
      <w:pPr>
        <w:pStyle w:val="Normal"/>
        <w:rPr/>
      </w:pPr>
      <w:r>
        <w:rPr>
          <w:b/>
          <w:bCs/>
        </w:rPr>
        <w:t>Quantity:</w:t>
      </w:r>
      <w:r>
        <w:rPr/>
        <w:t xml:space="preserve">     Monthly volumes to meet distribution demand based on annual usage profile (See attached Projections).</w:t>
      </w:r>
    </w:p>
    <w:p>
      <w:pPr>
        <w:pStyle w:val="Normal"/>
        <w:rPr/>
      </w:pPr>
      <w:r>
        <w:rPr/>
      </w:r>
    </w:p>
    <w:p>
      <w:pPr>
        <w:pStyle w:val="Normal"/>
        <w:rPr/>
      </w:pPr>
      <w:r>
        <w:rPr>
          <w:b/>
          <w:bCs/>
        </w:rPr>
        <w:t>Nominations:</w:t>
      </w:r>
      <w:r>
        <w:rPr/>
        <w:t xml:space="preserve">     Monthly nominated quantities due second business day prior to the first calendar day of each month for each receipt and/or delivery point or aggregated geographic area.  Daily nomination changes, if necessary.</w:t>
      </w:r>
    </w:p>
    <w:p>
      <w:pPr>
        <w:pStyle w:val="Normal"/>
        <w:rPr/>
      </w:pPr>
      <w:r>
        <w:rPr/>
      </w:r>
    </w:p>
    <w:p>
      <w:pPr>
        <w:pStyle w:val="Normal"/>
        <w:rPr/>
      </w:pPr>
      <w:r>
        <w:rPr>
          <w:b/>
          <w:bCs/>
        </w:rPr>
        <w:t>Gas Supply Sourcing:</w:t>
      </w:r>
      <w:r>
        <w:rPr/>
        <w:t xml:space="preserve">    Gas nominated and delivered in equal proportions between Waha, Katy, Mid-pipe and North Metroplex areas of the TXU LSP pipeline system.</w:t>
      </w:r>
    </w:p>
    <w:p>
      <w:pPr>
        <w:pStyle w:val="Normal"/>
        <w:rPr/>
      </w:pPr>
      <w:r>
        <w:rPr/>
      </w:r>
    </w:p>
    <w:p>
      <w:pPr>
        <w:pStyle w:val="Normal"/>
        <w:rPr/>
      </w:pPr>
      <w:r>
        <w:rPr>
          <w:b/>
          <w:bCs/>
        </w:rPr>
        <w:t>Balances:</w:t>
      </w:r>
      <w:r>
        <w:rPr/>
        <w:t xml:space="preserve">     Daily as practical.  Cumulative imbalances resolved before end of next month.</w:t>
      </w:r>
    </w:p>
    <w:p>
      <w:pPr>
        <w:pStyle w:val="Normal"/>
        <w:rPr/>
      </w:pPr>
      <w:r>
        <w:rPr/>
      </w:r>
    </w:p>
    <w:p>
      <w:pPr>
        <w:pStyle w:val="Normal"/>
        <w:rPr/>
      </w:pPr>
      <w:r>
        <w:rPr>
          <w:b/>
          <w:bCs/>
        </w:rPr>
        <w:t>Quality</w:t>
      </w:r>
      <w:r>
        <w:rPr>
          <w:b/>
          <w:bCs/>
          <w:sz w:val="22"/>
        </w:rPr>
        <w:t xml:space="preserve">:     </w:t>
      </w:r>
      <w:r>
        <w:rPr/>
        <w:t xml:space="preserve">Merchantable quality meeting the quality specifications in CoServ’s transportation contract with TXU LSP; 950-1,100 Btu per cubic foot. </w:t>
      </w:r>
    </w:p>
    <w:p>
      <w:pPr>
        <w:pStyle w:val="Normal"/>
        <w:rPr/>
      </w:pPr>
      <w:r>
        <w:rPr/>
      </w:r>
    </w:p>
    <w:p>
      <w:pPr>
        <w:pStyle w:val="Normal"/>
        <w:rPr/>
      </w:pPr>
      <w:r>
        <w:rPr>
          <w:b/>
          <w:bCs/>
        </w:rPr>
        <w:t>Delivery and Receipt Points:</w:t>
      </w:r>
      <w:r>
        <w:rPr/>
        <w:t xml:space="preserve">     Mutually agreeable existing Receipt Points into TXU LSP furnished by supplier.  Delivery points from TXU LSP into CoServ distribution system furnished by CoServ.</w:t>
      </w:r>
    </w:p>
    <w:p>
      <w:pPr>
        <w:pStyle w:val="Normal"/>
        <w:rPr/>
      </w:pPr>
      <w:r>
        <w:rPr/>
      </w:r>
    </w:p>
    <w:p>
      <w:pPr>
        <w:pStyle w:val="Normal"/>
        <w:rPr/>
      </w:pPr>
      <w:r>
        <w:rPr>
          <w:b/>
          <w:bCs/>
        </w:rPr>
        <w:t>Measurement:</w:t>
      </w:r>
      <w:r>
        <w:rPr/>
        <w:t xml:space="preserve">     Supplier responsible for standard measurement, regulation devices at Receipt Point in accordance with appropriate A.G.A. Report No. 3, 7, 9, or other industry standard method.</w:t>
      </w:r>
    </w:p>
    <w:p>
      <w:pPr>
        <w:pStyle w:val="Normal"/>
        <w:rPr/>
      </w:pPr>
      <w:r>
        <w:rPr/>
      </w:r>
    </w:p>
    <w:p>
      <w:pPr>
        <w:pStyle w:val="Normal"/>
        <w:rPr/>
      </w:pPr>
      <w:r>
        <w:rPr>
          <w:b/>
          <w:bCs/>
        </w:rPr>
        <w:t>Pricing:</w:t>
      </w:r>
      <w:r>
        <w:rPr/>
        <w:t xml:space="preserve">     Creative long-term, fixed, futures-based or market index basis pricing.</w:t>
      </w:r>
    </w:p>
    <w:p>
      <w:pPr>
        <w:pStyle w:val="Normal"/>
        <w:rPr/>
      </w:pPr>
      <w:r>
        <w:rPr/>
      </w:r>
    </w:p>
    <w:p>
      <w:pPr>
        <w:pStyle w:val="Normal"/>
        <w:rPr/>
      </w:pPr>
      <w:r>
        <w:rPr>
          <w:b/>
          <w:bCs/>
        </w:rPr>
        <w:t>Payment:</w:t>
      </w:r>
      <w:r>
        <w:rPr/>
        <w:t xml:space="preserve">     Monthly</w:t>
      </w:r>
    </w:p>
    <w:p>
      <w:pPr>
        <w:pStyle w:val="Normal"/>
        <w:rPr/>
      </w:pPr>
      <w:r>
        <w:rPr/>
      </w:r>
    </w:p>
    <w:p>
      <w:pPr>
        <w:pStyle w:val="Normal"/>
        <w:rPr/>
      </w:pPr>
      <w:r>
        <w:rPr>
          <w:b/>
          <w:bCs/>
        </w:rPr>
        <w:t>Term:</w:t>
      </w:r>
      <w:r>
        <w:rPr/>
        <w:t xml:space="preserve">     Up to two years primary term from date of initial deliveries, prior to January, 2002 with up to two year extension thereafter.</w:t>
      </w:r>
    </w:p>
    <w:p>
      <w:pPr>
        <w:pStyle w:val="Normal"/>
        <w:rPr/>
      </w:pPr>
      <w:r>
        <w:rPr/>
      </w:r>
    </w:p>
    <w:p>
      <w:pPr>
        <w:pStyle w:val="Normal"/>
        <w:rPr/>
      </w:pPr>
      <w:r>
        <w:rPr>
          <w:b/>
          <w:bCs/>
        </w:rPr>
        <w:t>Intrastate Warranty:</w:t>
      </w:r>
      <w:r>
        <w:rPr/>
        <w:t xml:space="preserve">     The gas shall not subject CoServ’s transporter, TXU LSP, to federal jurisdiction under the Natural Gas Act.</w:t>
      </w:r>
    </w:p>
    <w:p>
      <w:pPr>
        <w:pStyle w:val="Normal"/>
        <w:rPr/>
      </w:pPr>
      <w:r>
        <w:rPr/>
      </w:r>
    </w:p>
    <w:p>
      <w:pPr>
        <w:pStyle w:val="Normal"/>
        <w:rPr/>
      </w:pPr>
      <w:r>
        <w:rPr>
          <w:b/>
          <w:iCs/>
        </w:rPr>
        <w:t>Proposal Due Date:</w:t>
      </w:r>
      <w:r>
        <w:rPr>
          <w:bCs/>
          <w:iCs/>
        </w:rPr>
        <w:t xml:space="preserve">     September 12, 2001.  Award date after negotiations with gas deliveries as soon as November 1, 2001.</w:t>
      </w:r>
    </w:p>
    <w:p>
      <w:pPr>
        <w:pStyle w:val="Normal"/>
        <w:rPr>
          <w:b/>
          <w:bCs/>
          <w:iCs/>
        </w:rPr>
      </w:pPr>
      <w:r>
        <w:rPr>
          <w:b/>
          <w:bCs/>
          <w:iCs/>
        </w:rPr>
      </w:r>
    </w:p>
    <w:p>
      <w:pPr>
        <w:pStyle w:val="Normal"/>
        <w:rPr/>
      </w:pPr>
      <w:r>
        <w:rPr>
          <w:b/>
          <w:iCs/>
        </w:rPr>
        <w:t>Submit to:</w:t>
      </w:r>
      <w:r>
        <w:rPr>
          <w:bCs/>
          <w:iCs/>
        </w:rPr>
        <w:t xml:space="preserve">    Rich Herweck</w:t>
      </w:r>
    </w:p>
    <w:p>
      <w:pPr>
        <w:pStyle w:val="Normal"/>
        <w:rPr>
          <w:bCs/>
          <w:iCs/>
        </w:rPr>
      </w:pPr>
      <w:r>
        <w:rPr>
          <w:bCs/>
          <w:iCs/>
        </w:rPr>
        <w:t xml:space="preserve">                      </w:t>
      </w:r>
      <w:r>
        <w:rPr>
          <w:bCs/>
          <w:iCs/>
        </w:rPr>
        <w:t>CoServ Gas, LTD.</w:t>
      </w:r>
    </w:p>
    <w:p>
      <w:pPr>
        <w:pStyle w:val="Normal"/>
        <w:rPr>
          <w:bCs/>
          <w:iCs/>
        </w:rPr>
      </w:pPr>
      <w:r>
        <w:rPr>
          <w:bCs/>
          <w:iCs/>
        </w:rPr>
        <w:t xml:space="preserve">                      </w:t>
      </w:r>
      <w:r>
        <w:rPr>
          <w:bCs/>
          <w:iCs/>
        </w:rPr>
        <w:t>7701 South Stemmons</w:t>
      </w:r>
    </w:p>
    <w:p>
      <w:pPr>
        <w:pStyle w:val="Normal"/>
        <w:rPr>
          <w:bCs/>
          <w:iCs/>
        </w:rPr>
      </w:pPr>
      <w:r>
        <w:rPr>
          <w:bCs/>
          <w:iCs/>
        </w:rPr>
        <w:t xml:space="preserve">                      </w:t>
      </w:r>
      <w:r>
        <w:rPr>
          <w:bCs/>
          <w:iCs/>
        </w:rPr>
        <w:t>Lake Dallas, Texas 75065</w:t>
      </w:r>
    </w:p>
    <w:p>
      <w:pPr>
        <w:pStyle w:val="Normal"/>
        <w:rPr>
          <w:bCs/>
          <w:iCs/>
        </w:rPr>
      </w:pPr>
      <w:r>
        <w:rPr>
          <w:bCs/>
          <w:iCs/>
        </w:rPr>
        <w:t xml:space="preserve">                      </w:t>
      </w:r>
      <w:r>
        <w:rPr>
          <w:bCs/>
          <w:iCs/>
        </w:rPr>
        <w:t>940-270-6684</w:t>
      </w:r>
    </w:p>
    <w:p>
      <w:pPr>
        <w:pStyle w:val="Normal"/>
        <w:rPr>
          <w:bCs/>
          <w:iCs/>
        </w:rPr>
      </w:pPr>
      <w:r>
        <w:rPr>
          <w:bCs/>
          <w:iCs/>
        </w:rPr>
        <w:t xml:space="preserve">                      </w:t>
      </w:r>
      <w:r>
        <w:rPr>
          <w:bCs/>
          <w:iCs/>
        </w:rPr>
        <w:t>940-270-0705 FAX</w:t>
      </w:r>
    </w:p>
    <w:p>
      <w:pPr>
        <w:pStyle w:val="Normal"/>
        <w:rPr>
          <w:bCs/>
          <w:iCs/>
        </w:rPr>
      </w:pPr>
      <w:r>
        <w:rPr>
          <w:bCs/>
          <w:iCs/>
        </w:rPr>
        <w:tab/>
        <w:t xml:space="preserve">       </w:t>
      </w:r>
      <w:hyperlink r:id="rId4">
        <w:r>
          <w:rPr>
            <w:rStyle w:val="Hyperlink"/>
            <w:bCs/>
            <w:iCs/>
          </w:rPr>
          <w:t>rherweck@coserv.com</w:t>
        </w:r>
      </w:hyperlink>
    </w:p>
    <w:p>
      <w:pPr>
        <w:pStyle w:val="Normal"/>
        <w:rPr>
          <w:bCs/>
          <w:iCs/>
        </w:rPr>
      </w:pPr>
      <w:r>
        <w:rPr>
          <w:bCs/>
          <w:iCs/>
        </w:rPr>
      </w:r>
    </w:p>
    <w:p>
      <w:pPr>
        <w:pStyle w:val="BodyText"/>
        <w:rPr/>
      </w:pPr>
      <w:r>
        <w:rPr/>
        <w:t>ANY PROPOSAL IS SUBJECT TO NEGOTIATION AND EXECUTION OF A DEFINITIVE AGREEMENT WITH MORE COMPLETE TERMS AND CONDITIONS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oserv.com/" TargetMode="External"/><Relationship Id="rId4" Type="http://schemas.openxmlformats.org/officeDocument/2006/relationships/hyperlink" Target="mailto:rherweck@coserv.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2001-08-22T19:23:00Z</dcterms:created>
  <dc:creator>CoServ</dc:creator>
  <dc:description/>
  <dc:language>en-CA</dc:language>
  <cp:lastModifiedBy>CoServ</cp:lastModifiedBy>
  <cp:lastPrinted>2001-08-22T16:54:00Z</cp:lastPrinted>
  <dcterms:modified xsi:type="dcterms:W3CDTF">2001-08-22T19:28:00Z</dcterms:modified>
  <cp:revision>3</cp:revision>
  <dc:subject/>
  <dc:title>[CoServ Letterhead]</dc:title>
</cp:coreProperties>
</file>