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ind w:start="0" w:hanging="0" w:end="0"/>
        <w:jc w:val="center"/>
        <w:outlineLvl w:val="0"/>
        <w:rPr>
          <w:b/>
          <w:u w:val="single"/>
        </w:rPr>
      </w:pPr>
      <w:r>
        <w:rPr>
          <w:b/>
          <w:u w:val="single"/>
        </w:rPr>
        <w:t>Eletrobolt Closing Issues</w:t>
      </w:r>
    </w:p>
    <w:p>
      <w:pPr>
        <w:pStyle w:val="BodyText"/>
        <w:rPr>
          <w:b/>
          <w:u w:val="single"/>
        </w:rPr>
      </w:pPr>
      <w:r>
        <w:rPr>
          <w:b/>
          <w:u w:val="single"/>
        </w:rPr>
      </w:r>
    </w:p>
    <w:p>
      <w:pPr>
        <w:pStyle w:val="BodyText"/>
        <w:rPr/>
      </w:pPr>
      <w:r>
        <w:rPr/>
        <w:t>With a view to achieving an OPIC disbursement to the Eletrobolt project by year-end, Enron has agreed that OPIC can put the $50 million portion of the OPIC loan (which has previously been scheduled to be amortized during the merchant period) to Enron at the end of year five.  Although this simplifies the financing documentation required somewhat, there is a tremendous amount that still needs to be done to achieve financial closing by year-end.  Set forth below are (i) a list of significant open issues that require immediate resolution for a year-end closing, (ii) a listing of certain additional considerations relevant to the timing of an OPIC disbursement, and (iii) a list of the significant documents that SFE would be required to finalize prior to the disbursement of OPIC's loan.  The lists below are intended to represent areas that are a priority given the progress required to achieve SFE’s goal.  These lists are not intended to be all-inclusive as is the Closing Checklist which should be referred to for a more complete detail of the documentation outstanding and other critical path items.  The Closing Checklist must be reviewed by Enron and OPIC and updated by next week to establish the schedule for achieving a closing.</w:t>
      </w:r>
    </w:p>
    <w:p>
      <w:pPr>
        <w:pStyle w:val="BodyText"/>
        <w:rPr/>
      </w:pPr>
      <w:r>
        <w:rPr/>
        <w:t xml:space="preserve"> </w:t>
      </w:r>
      <w:r>
        <w:rPr/>
        <w:t>We are prepared to restart discussions regarding the structure for the second five years of the loan at the beginning of next year.</w:t>
      </w:r>
    </w:p>
    <w:p>
      <w:pPr>
        <w:pStyle w:val="BodyText"/>
        <w:ind w:hanging="720" w:start="720" w:end="0"/>
        <w:rPr/>
      </w:pPr>
      <w:r>
        <w:rPr/>
        <w:t>I.</w:t>
        <w:tab/>
      </w:r>
      <w:r>
        <w:rPr>
          <w:u w:val="single"/>
        </w:rPr>
        <w:t>Open Issues That Require Immediate Resolution for a Year-End Close and Disbursement</w:t>
      </w:r>
      <w:r>
        <w:rPr/>
        <w:t>:</w:t>
      </w:r>
    </w:p>
    <w:p>
      <w:pPr>
        <w:pStyle w:val="Normal"/>
        <w:rPr/>
      </w:pPr>
      <w:r>
        <w:rPr/>
        <w:t xml:space="preserve">1. Enron-proposed offshore refinancing structure requiring OPIC to acquire existing loans made outside of Brazil (need to </w:t>
      </w:r>
      <w:r>
        <w:rPr>
          <w:color w:val="000000"/>
          <w:lang w:eastAsia="en-US"/>
        </w:rPr>
        <w:t xml:space="preserve">resolve outstanding issues pertaining to </w:t>
      </w:r>
      <w:r>
        <w:rPr/>
        <w:t>Central Bank registration, withholding tax, and other due diligence matters).</w:t>
      </w:r>
      <w:r>
        <w:rPr>
          <w:color w:val="000000"/>
          <w:lang w:eastAsia="en-US"/>
        </w:rPr>
        <w:t xml:space="preserve">  While we understand that there is an economic benefit to Enron from the structure, there should be an agreement that if pending issues are not resolved within two weeks, the idea will be dropped.  Enron is arranging a meeting with the Central Bank to discuss the RFO relating to this structure, and must receive a response that is acceptable to OPIC.  This must be accomplished within two weeks to provide sufficient time to re-draft the Finance Agreement.</w:t>
      </w:r>
    </w:p>
    <w:p>
      <w:pPr>
        <w:pStyle w:val="Normal"/>
        <w:rPr/>
      </w:pPr>
      <w:r>
        <w:rPr/>
        <w:t>2. Enron proposal for use of Enron guaranty to permit early withdrawal of cash from onshore and offshore collateral accounts prior to permitted distribution dates, (including Enron proposal to satisfy reserve account balances with a guaranty, rather than a letter of credit or cash).</w:t>
      </w:r>
      <w:r>
        <w:rPr>
          <w:lang w:eastAsia="en-US"/>
        </w:rPr>
        <w:t xml:space="preserve"> In principle, we can accept use of a letter of credit, but not an Enron guaranty, to permit early withdrawal from the distribution account and for funding of the debt service reserve. Please advise in the next few days if you wish us to proceed on a closing on this basis.</w:t>
      </w:r>
    </w:p>
    <w:p>
      <w:pPr>
        <w:pStyle w:val="Normal"/>
        <w:rPr/>
      </w:pPr>
      <w:r>
        <w:rPr/>
        <w:t>3. Enron proposal to distribute dividends on a monthly basis, rather than on a quarterly basis.</w:t>
      </w:r>
      <w:r>
        <w:rPr>
          <w:lang w:eastAsia="en-US"/>
        </w:rPr>
        <w:t xml:space="preserve">  We cannot accept distribution of dividends more frequently than quarterly. Please advise in the next few days if you wish us to proceed on a closing on this basis.</w:t>
      </w:r>
    </w:p>
    <w:p>
      <w:pPr>
        <w:pStyle w:val="Normal"/>
        <w:rPr/>
      </w:pPr>
      <w:r>
        <w:rPr/>
        <w:t>4. Offshore and onshore collateral accounts arrangements must be restructured to reduce devaluation risk and more closely follow traditional waterfall structures.  Enron has made meaningful modifications to our proposals and there are numerous issues that need to be resolved.  The outstanding commercial issues must be resolved within the next two weeks.</w:t>
      </w:r>
    </w:p>
    <w:p>
      <w:pPr>
        <w:pStyle w:val="Normal"/>
        <w:rPr/>
      </w:pPr>
      <w:r>
        <w:rPr/>
        <w:t xml:space="preserve">5. Enron objection to use of golden quotas that are similar to the golden quotas used in other Brazilian financings. </w:t>
      </w:r>
      <w:r>
        <w:rPr>
          <w:lang w:eastAsia="en-US"/>
        </w:rPr>
        <w:t xml:space="preserve"> OPIC requires a golden quota for all transactions in Brazil (in power and other sectors).  It was accepted by Enron in Cuiabá, and is required for Eletrobolt.  Please advise of your ability to accept this requirement in the next few days.</w:t>
      </w:r>
    </w:p>
    <w:p>
      <w:pPr>
        <w:pStyle w:val="Normal"/>
        <w:rPr/>
      </w:pPr>
      <w:r>
        <w:rPr/>
        <w:t>6. Finalize the structure of how the Enron guaranty will work in an early termination of the Consortium in the event of an SFE default with respect to structure and timing of the $50 million repayment under the guaranty.</w:t>
      </w:r>
      <w:r>
        <w:rPr>
          <w:lang w:eastAsia="en-US"/>
        </w:rPr>
        <w:t xml:space="preserve">  </w:t>
      </w:r>
      <w:r>
        <w:rPr/>
        <w:t>This commercial issue must be resolved within the next two weeks.</w:t>
      </w:r>
    </w:p>
    <w:p>
      <w:pPr>
        <w:pStyle w:val="Normal"/>
        <w:rPr/>
      </w:pPr>
      <w:r>
        <w:rPr/>
      </w:r>
    </w:p>
    <w:p>
      <w:pPr>
        <w:pStyle w:val="BodyText"/>
        <w:keepNext w:val="true"/>
        <w:numPr>
          <w:ilvl w:val="0"/>
          <w:numId w:val="12"/>
        </w:numPr>
        <w:tabs>
          <w:tab w:val="left" w:pos="720" w:leader="none"/>
        </w:tabs>
        <w:ind w:hanging="720" w:start="720" w:end="0"/>
        <w:rPr/>
      </w:pPr>
      <w:r>
        <w:rPr>
          <w:u w:val="single"/>
        </w:rPr>
        <w:t>Other Considerations</w:t>
      </w:r>
      <w:r>
        <w:rPr/>
        <w:t>:</w:t>
      </w:r>
    </w:p>
    <w:p>
      <w:pPr>
        <w:pStyle w:val="Normal"/>
        <w:rPr/>
      </w:pPr>
      <w:r>
        <w:rPr/>
        <w:t xml:space="preserve">1. As much of the financing documentation is at first draft stage and many issues are likely to arise in connection with finalizing the financing agreements, Enron must be willing and prepared to </w:t>
      </w:r>
      <w:r>
        <w:rPr>
          <w:lang w:eastAsia="en-US"/>
        </w:rPr>
        <w:t xml:space="preserve">take a practical approach to negotiating the fine points </w:t>
      </w:r>
      <w:r>
        <w:rPr/>
        <w:t>if the transaction is to close by year-end.</w:t>
      </w:r>
    </w:p>
    <w:p>
      <w:pPr>
        <w:pStyle w:val="Normal"/>
        <w:rPr/>
      </w:pPr>
      <w:r>
        <w:rPr/>
        <w:t xml:space="preserve">2. Many of the conditions that will need to be met in order for a disbursement to occur by year-end are to a certain extent outside of the control of OPIC and Enron, such as Brazilian government approvals (including registration of the Consortium with the MAE), perfection of Brazilian, Cayman Islands, and U.S. collateral, legal opinions, and third-party consents.  </w:t>
      </w:r>
      <w:r>
        <w:rPr>
          <w:lang w:eastAsia="en-US"/>
        </w:rPr>
        <w:t>These items are ultimately Enron's responsibility and we are assuming you are giving them your utmost attention and priority.</w:t>
      </w:r>
    </w:p>
    <w:p>
      <w:pPr>
        <w:pStyle w:val="Normal"/>
        <w:rPr>
          <w:lang w:eastAsia="en-US"/>
        </w:rPr>
      </w:pPr>
      <w:r>
        <w:rPr>
          <w:lang w:eastAsia="en-US"/>
        </w:rPr>
      </w:r>
    </w:p>
    <w:p>
      <w:pPr>
        <w:pStyle w:val="BodyText"/>
        <w:numPr>
          <w:ilvl w:val="0"/>
          <w:numId w:val="13"/>
        </w:numPr>
        <w:tabs>
          <w:tab w:val="clear" w:pos="720"/>
          <w:tab w:val="left" w:pos="-180" w:leader="none"/>
        </w:tabs>
        <w:ind w:hanging="0" w:start="0" w:end="0"/>
        <w:rPr/>
      </w:pPr>
      <w:r>
        <w:rPr>
          <w:u w:val="single"/>
        </w:rPr>
        <w:t>Principal Documentation to Be Finalized</w:t>
      </w:r>
      <w:r>
        <w:rPr/>
        <w:t>:</w:t>
      </w:r>
      <w:r>
        <w:rPr>
          <w:b/>
        </w:rPr>
        <w:t xml:space="preserve"> </w:t>
      </w:r>
      <w:r>
        <w:rPr/>
        <w:t>other than the Finance Agreement (which requires resolution of several issues, including Enron's recently proposed funding structure) the remaining documentation is in the initial draft stage.  (Also, OPIC’s outside counsel is currently reviewing the warehousing trust structure to be sure there would be no adverse consequences to OPIC to close and disburse and expect to respond on this matter by mid-November.)  Enron would be required to deliver each Transaction Document prior to funding, including the following:</w:t>
      </w:r>
    </w:p>
    <w:p>
      <w:pPr>
        <w:pStyle w:val="BodyText"/>
        <w:tabs>
          <w:tab w:val="clear" w:pos="720"/>
          <w:tab w:val="left" w:pos="-180" w:leader="none"/>
        </w:tabs>
        <w:ind w:hanging="0" w:end="0"/>
        <w:rPr/>
      </w:pPr>
      <w:r>
        <w:rPr/>
        <w:t>1. Subordinated Loan Agreement (Enron to provide first draft);</w:t>
      </w:r>
      <w:r>
        <w:rPr>
          <w:lang w:eastAsia="en-US"/>
        </w:rPr>
        <w:t xml:space="preserve"> please advise when a draft will be provided.</w:t>
      </w:r>
    </w:p>
    <w:p>
      <w:pPr>
        <w:pStyle w:val="Normal"/>
        <w:rPr/>
      </w:pPr>
      <w:r>
        <w:rPr/>
        <w:t>2. Onshore Retention Agreement (first draft delivered by Enron; business terms must be agreed to before the draft can be turned around)</w:t>
      </w:r>
      <w:r>
        <w:rPr>
          <w:lang w:eastAsia="en-US"/>
        </w:rPr>
        <w:t>.</w:t>
      </w:r>
    </w:p>
    <w:p>
      <w:pPr>
        <w:pStyle w:val="Normal"/>
        <w:rPr/>
      </w:pPr>
      <w:r>
        <w:rPr/>
        <w:t>3. Offshore Retention Agreement (first draft delivered; business terms must be agreed to before the draft can be turned around)</w:t>
      </w:r>
      <w:r>
        <w:rPr>
          <w:lang w:eastAsia="en-US"/>
        </w:rPr>
        <w:t>.</w:t>
      </w:r>
    </w:p>
    <w:p>
      <w:pPr>
        <w:pStyle w:val="Normal"/>
        <w:rPr/>
      </w:pPr>
      <w:r>
        <w:rPr/>
        <w:t>4. Brazilian Security Documents (OPIC awaiting Enron's comments on first drafts; several issues remain to be discussed regarding timing and possible indemnity from Enron with respect to pledge of quotas);</w:t>
      </w:r>
      <w:r>
        <w:rPr>
          <w:lang w:eastAsia="en-US"/>
        </w:rPr>
        <w:t xml:space="preserve"> please advise when Enron will provide comments.</w:t>
      </w:r>
    </w:p>
    <w:p>
      <w:pPr>
        <w:pStyle w:val="Normal"/>
        <w:rPr/>
      </w:pPr>
      <w:r>
        <w:rPr/>
        <w:t>5. Consent Agreements (includes Consent Agreements with Petrobrás, General Electric, and NEPCO);</w:t>
      </w:r>
      <w:r>
        <w:rPr>
          <w:lang w:eastAsia="en-US"/>
        </w:rPr>
        <w:t xml:space="preserve"> please advise the status of the Petrobrás consent.</w:t>
      </w:r>
    </w:p>
    <w:p>
      <w:pPr>
        <w:pStyle w:val="BodyText"/>
        <w:tabs>
          <w:tab w:val="clear" w:pos="720"/>
          <w:tab w:val="left" w:pos="1440" w:leader="none"/>
        </w:tabs>
        <w:ind w:hanging="0" w:end="0"/>
        <w:rPr/>
      </w:pPr>
      <w:r>
        <w:rPr/>
        <w:t>6. Subordination Agreements (requires resolution of waterfall issues); please advise on when Enron will provide comments to OPIC draft.</w:t>
      </w:r>
    </w:p>
    <w:p>
      <w:pPr>
        <w:pStyle w:val="BodyText"/>
        <w:tabs>
          <w:tab w:val="clear" w:pos="720"/>
          <w:tab w:val="left" w:pos="1440" w:leader="none"/>
        </w:tabs>
        <w:ind w:hanging="0" w:end="0"/>
        <w:rPr/>
      </w:pPr>
      <w:r>
        <w:rPr/>
        <w:t>7. Sponsor Support Agreement (OPIC to draft once all business points are agreed upon)</w:t>
      </w:r>
      <w:r>
        <w:rPr>
          <w:lang w:eastAsia="en-US"/>
        </w:rPr>
        <w:t>.</w:t>
      </w:r>
    </w:p>
    <w:p>
      <w:pPr>
        <w:pStyle w:val="BodyText"/>
        <w:tabs>
          <w:tab w:val="clear" w:pos="720"/>
          <w:tab w:val="left" w:pos="1440" w:leader="none"/>
        </w:tabs>
        <w:ind w:hanging="0" w:end="0"/>
        <w:rPr/>
      </w:pPr>
      <w:r>
        <w:rPr/>
        <w:t>8. Enron Subordinated Debt Guaranty (Enron to provide first draft);</w:t>
      </w:r>
      <w:r>
        <w:rPr>
          <w:lang w:eastAsia="en-US"/>
        </w:rPr>
        <w:t xml:space="preserve"> please advise when a draft will be provided.</w:t>
      </w:r>
    </w:p>
    <w:p>
      <w:pPr>
        <w:pStyle w:val="BodyText"/>
        <w:tabs>
          <w:tab w:val="clear" w:pos="720"/>
          <w:tab w:val="left" w:pos="1440" w:leader="none"/>
        </w:tabs>
        <w:ind w:hanging="0" w:end="0"/>
        <w:rPr/>
      </w:pPr>
      <w:r>
        <w:rPr/>
        <w:t>9. GE Dedicated Engine Rental Agreements (Enron to finalize);</w:t>
      </w:r>
      <w:r>
        <w:rPr>
          <w:lang w:eastAsia="en-US"/>
        </w:rPr>
        <w:t xml:space="preserve"> please advise when these will be finalized.</w:t>
      </w:r>
    </w:p>
    <w:p>
      <w:pPr>
        <w:pStyle w:val="BodyText"/>
        <w:tabs>
          <w:tab w:val="clear" w:pos="720"/>
          <w:tab w:val="left" w:pos="1440" w:leader="none"/>
        </w:tabs>
        <w:ind w:hanging="0" w:end="0"/>
        <w:rPr/>
      </w:pPr>
      <w:r>
        <w:rPr/>
        <w:t>10. Shared Facilities Agreement (Enron to provide amendment);</w:t>
      </w:r>
      <w:r>
        <w:rPr>
          <w:lang w:eastAsia="en-US"/>
        </w:rPr>
        <w:t xml:space="preserve"> please advise when this will be provided.</w:t>
      </w:r>
    </w:p>
    <w:p>
      <w:pPr>
        <w:pStyle w:val="BodyText"/>
        <w:tabs>
          <w:tab w:val="clear" w:pos="720"/>
          <w:tab w:val="left" w:pos="1440" w:leader="none"/>
        </w:tabs>
        <w:ind w:hanging="0" w:end="0"/>
        <w:rPr/>
      </w:pPr>
      <w:r>
        <w:rPr/>
        <w:t>11. Funding Documents, including Liquidity Facility Agreement;</w:t>
      </w:r>
      <w:r>
        <w:rPr>
          <w:lang w:eastAsia="en-US"/>
        </w:rPr>
        <w:t xml:space="preserve"> OPIC to respond to Enron comments on drafts by end of next week.</w:t>
      </w:r>
    </w:p>
    <w:p>
      <w:pPr>
        <w:pStyle w:val="BodyText"/>
        <w:tabs>
          <w:tab w:val="clear" w:pos="720"/>
          <w:tab w:val="left" w:pos="1440" w:leader="none"/>
        </w:tabs>
        <w:ind w:hanging="0" w:end="0"/>
        <w:rPr/>
      </w:pPr>
      <w:r>
        <w:rPr/>
        <w:t>12. SFE Articles of Association ;OPIC will provide amendment language to incorporate golden quota.</w:t>
      </w:r>
    </w:p>
    <w:p>
      <w:pPr>
        <w:pStyle w:val="BodyText"/>
        <w:tabs>
          <w:tab w:val="clear" w:pos="720"/>
          <w:tab w:val="left" w:pos="1440" w:leader="none"/>
        </w:tabs>
        <w:ind w:hanging="0" w:end="0"/>
        <w:rPr/>
      </w:pPr>
      <w:r>
        <w:rPr/>
        <w:t>13. Provisional Reliability Test procedures to be agreed to between OPIC, IE, and Enron</w:t>
      </w:r>
      <w:r>
        <w:rPr>
          <w:lang w:eastAsia="en-US"/>
        </w:rPr>
        <w:t>; please advise when Enron will provide OPIC’s IE with draft of procedures.</w:t>
      </w:r>
    </w:p>
    <w:p>
      <w:pPr>
        <w:pStyle w:val="BodyText"/>
        <w:tabs>
          <w:tab w:val="clear" w:pos="720"/>
          <w:tab w:val="left" w:pos="1440" w:leader="none"/>
        </w:tabs>
        <w:ind w:hanging="0" w:end="0"/>
        <w:rPr/>
      </w:pPr>
      <w:r>
        <w:rPr/>
        <w:t>14. Opinions of counsels, including New York, Brazilian, and Cayman Islands (OPIC to prepare first drafts of each in next three weeks).</w:t>
      </w:r>
    </w:p>
    <w:p>
      <w:pPr>
        <w:pStyle w:val="Normal"/>
        <w:rPr/>
      </w:pPr>
      <w:r>
        <w:rPr/>
        <w:t xml:space="preserve">15. Required Approvals to be obtained (Brazilian counsels have not yet agreed upon necessary approvals, especially those approvals required for the Consortium's registration with the MAE); </w:t>
      </w:r>
      <w:r>
        <w:rPr>
          <w:lang w:eastAsia="en-US"/>
        </w:rPr>
        <w:t>local counsels need to meet and agree on action plan for pending items and revert to project teams with specifics by next week.</w:t>
      </w:r>
    </w:p>
    <w:p>
      <w:pPr>
        <w:pStyle w:val="Normal"/>
        <w:rPr/>
      </w:pPr>
      <w:r>
        <w:rPr/>
        <w:t xml:space="preserve">16. Insurance coverages acceptable to OPIC, including ability to pay proceeds offshore to the extent permitted under Brazilian regulations; </w:t>
      </w:r>
      <w:r>
        <w:rPr>
          <w:lang w:eastAsia="en-US"/>
        </w:rPr>
        <w:t>please advise of Enron plan to obtain IRB approval for this.</w:t>
      </w:r>
    </w:p>
    <w:p>
      <w:pPr>
        <w:pStyle w:val="BodyText"/>
        <w:spacing w:before="0" w:after="240"/>
        <w:ind w:firstLine="720" w:end="0"/>
        <w:rPr/>
      </w:pPr>
      <w:r>
        <w:rPr/>
        <w:t>Finally, although OPIC has attempted to include all the Brazilian legal issues of which it is aware, these lists have been prepared without consulting with Brazilian counsel.</w:t>
      </w:r>
    </w:p>
    <w:sectPr>
      <w:headerReference w:type="default" r:id="rId2"/>
      <w:headerReference w:type="first" r:id="rId3"/>
      <w:footerReference w:type="default" r:id="rId4"/>
      <w:footerReference w:type="first" r:id="rId5"/>
      <w:type w:val="nextPage"/>
      <w:pgSz w:w="12240" w:h="15840"/>
      <w:pgMar w:left="1728" w:right="1440" w:gutter="0" w:header="1080" w:top="216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heSansBoldPlain">
    <w:altName w:val="Courier New"/>
    <w:charset w:val="00" w:characterSet="windows-125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ab/>
    </w:r>
  </w:p>
  <w:p>
    <w:pPr>
      <w:pStyle w:val="PCDOCSFooter"/>
      <w:rPr/>
    </w:pPr>
    <w:r>
      <w:rPr/>
      <w:fldChar w:fldCharType="begin"/>
    </w:r>
    <w:r>
      <w:rPr/>
      <w:instrText xml:space="preserve"> TITLE </w:instrText>
    </w:r>
    <w:r>
      <w:rPr/>
      <w:fldChar w:fldCharType="separate"/>
    </w:r>
    <w:r>
      <w:rPr/>
      <w:t>DC1 - 158403.03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PCDOCSFirstFooter"/>
      <w:rPr/>
    </w:pPr>
    <w:r>
      <w:rPr/>
      <w:fldChar w:fldCharType="begin"/>
    </w:r>
    <w:r>
      <w:rPr/>
      <w:instrText xml:space="preserve"> TITLE </w:instrText>
    </w:r>
    <w:r>
      <w:rPr/>
      <w:fldChar w:fldCharType="separate"/>
    </w:r>
    <w:r>
      <w:rPr/>
      <w:t>DC1 - 158403.03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t>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2"/>
      <w:numFmt w:val="upperRoman"/>
      <w:lvlText w:val="%1."/>
      <w:lvlJc w:val="start"/>
      <w:pPr>
        <w:tabs>
          <w:tab w:val="num" w:pos="2880"/>
        </w:tabs>
        <w:ind w:start="2880" w:hanging="720"/>
      </w:pPr>
      <w:rPr/>
    </w:lvl>
  </w:abstractNum>
  <w:abstractNum w:abstractNumId="13">
    <w:lvl w:ilvl="0">
      <w:start w:val="3"/>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docVars>
    <w:docVar w:name="FilledOut" w:val="Yes"/>
    <w:docVar w:name="FooterID" w:val="F100000P0"/>
    <w:docVar w:name="OptStationery" w:val="1"/>
    <w:docVar w:name="SpeechCmd" w:val="Fnt:vrb/dir/cnt/obj,Select,,1,All"/>
    <w:docVar w:name="TxtAuthorName" w:val="Todd E. Alexander"/>
    <w:docVar w:name="TxtDate" w:val="October 31, 2001"/>
    <w:docVar w:name="TxtNameTo" w:val="Richard Greenberg"/>
    <w:docVar w:name="TxtRe" w:val="OPIC/ELECTROBOLT&#10;15232.006"/>
    <w:docVar w:name="UpdatedFields" w:val="Yes"/>
    <w:docVar w:name="Version" w:val="9"/>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cs="Arial"/>
      <w:bCs/>
      <w:szCs w:val="32"/>
    </w:rPr>
  </w:style>
  <w:style w:type="paragraph" w:styleId="Heading2">
    <w:name w:val="heading 2"/>
    <w:basedOn w:val="Normal"/>
    <w:next w:val="Normal"/>
    <w:qFormat/>
    <w:pPr>
      <w:keepNext w:val="true"/>
      <w:numPr>
        <w:ilvl w:val="1"/>
        <w:numId w:val="1"/>
      </w:numPr>
      <w:ind w:hanging="0" w:start="720" w:end="0"/>
      <w:outlineLvl w:val="1"/>
    </w:pPr>
    <w:rPr>
      <w:rFonts w:cs="Arial"/>
      <w:bCs/>
      <w:iCs/>
      <w:szCs w:val="28"/>
    </w:rPr>
  </w:style>
  <w:style w:type="paragraph" w:styleId="Heading3">
    <w:name w:val="heading 3"/>
    <w:basedOn w:val="Normal"/>
    <w:next w:val="Normal"/>
    <w:qFormat/>
    <w:pPr>
      <w:keepNext w:val="true"/>
      <w:numPr>
        <w:ilvl w:val="2"/>
        <w:numId w:val="1"/>
      </w:numPr>
      <w:ind w:hanging="0" w:start="1440" w:end="0"/>
      <w:outlineLvl w:val="2"/>
    </w:pPr>
    <w:rPr>
      <w:rFonts w:cs="Arial"/>
      <w:bCs/>
      <w:szCs w:val="26"/>
    </w:rPr>
  </w:style>
  <w:style w:type="paragraph" w:styleId="Heading4">
    <w:name w:val="heading 4"/>
    <w:basedOn w:val="Normal"/>
    <w:next w:val="Normal"/>
    <w:qFormat/>
    <w:pPr>
      <w:keepNext w:val="true"/>
      <w:numPr>
        <w:ilvl w:val="3"/>
        <w:numId w:val="1"/>
      </w:numPr>
      <w:ind w:hanging="0" w:start="2160" w:end="0"/>
      <w:outlineLvl w:val="3"/>
    </w:pPr>
    <w:rPr>
      <w:bCs/>
      <w:szCs w:val="28"/>
    </w:rPr>
  </w:style>
  <w:style w:type="paragraph" w:styleId="Heading5">
    <w:name w:val="heading 5"/>
    <w:basedOn w:val="Normal"/>
    <w:next w:val="Normal"/>
    <w:qFormat/>
    <w:pPr>
      <w:numPr>
        <w:ilvl w:val="4"/>
        <w:numId w:val="1"/>
      </w:numPr>
      <w:ind w:hanging="0" w:start="2880" w:end="0"/>
      <w:outlineLvl w:val="4"/>
    </w:pPr>
    <w:rPr>
      <w:bCs/>
      <w:iCs/>
      <w:szCs w:val="26"/>
    </w:rPr>
  </w:style>
  <w:style w:type="paragraph" w:styleId="Heading6">
    <w:name w:val="heading 6"/>
    <w:basedOn w:val="Normal"/>
    <w:next w:val="Normal"/>
    <w:qFormat/>
    <w:pPr>
      <w:keepNext w:val="true"/>
      <w:numPr>
        <w:ilvl w:val="5"/>
        <w:numId w:val="1"/>
      </w:numPr>
      <w:ind w:hanging="0" w:start="3600" w:end="0"/>
      <w:outlineLvl w:val="5"/>
    </w:pPr>
    <w:rPr>
      <w:bCs/>
      <w:szCs w:val="22"/>
    </w:rPr>
  </w:style>
  <w:style w:type="paragraph" w:styleId="Heading7">
    <w:name w:val="heading 7"/>
    <w:basedOn w:val="Normal"/>
    <w:next w:val="Normal"/>
    <w:qFormat/>
    <w:pPr>
      <w:numPr>
        <w:ilvl w:val="6"/>
        <w:numId w:val="1"/>
      </w:numPr>
      <w:ind w:hanging="0" w:start="4320" w:end="0"/>
      <w:outlineLvl w:val="6"/>
    </w:pPr>
    <w:rPr>
      <w:szCs w:val="24"/>
    </w:rPr>
  </w:style>
  <w:style w:type="paragraph" w:styleId="Heading8">
    <w:name w:val="heading 8"/>
    <w:basedOn w:val="Normal"/>
    <w:next w:val="Normal"/>
    <w:qFormat/>
    <w:pPr>
      <w:numPr>
        <w:ilvl w:val="7"/>
        <w:numId w:val="1"/>
      </w:numPr>
      <w:ind w:hanging="0" w:start="5040" w:end="0"/>
      <w:outlineLvl w:val="7"/>
    </w:pPr>
    <w:rPr>
      <w:iCs/>
      <w:szCs w:val="24"/>
    </w:rPr>
  </w:style>
  <w:style w:type="paragraph" w:styleId="Heading9">
    <w:name w:val="heading 9"/>
    <w:basedOn w:val="Normal"/>
    <w:next w:val="Normal"/>
    <w:qFormat/>
    <w:pPr>
      <w:numPr>
        <w:ilvl w:val="8"/>
        <w:numId w:val="1"/>
      </w:numPr>
      <w:ind w:hanging="0" w:start="5400" w:end="0"/>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HTMLSample">
    <w:name w:val="HTML Sample"/>
    <w:basedOn w:val="DefaultParagraphFont"/>
    <w:qFormat/>
    <w:rPr>
      <w:rFonts w:ascii="Courier New" w:hAnsi="Courier New" w:cs="Courier New"/>
      <w:sz w:val="20"/>
    </w:rPr>
  </w:style>
  <w:style w:type="character" w:styleId="HTMLTypewriter">
    <w:name w:val="HTML Typewriter"/>
    <w:basedOn w:val="DefaultParagraphFont"/>
    <w:qFormat/>
    <w:rPr>
      <w:rFonts w:ascii="Courier New" w:hAnsi="Courier New" w:cs="Courier New"/>
      <w:sz w:val="20"/>
      <w:szCs w:val="20"/>
    </w:rPr>
  </w:style>
  <w:style w:type="paragraph" w:styleId="Heading">
    <w:name w:val="Heading"/>
    <w:basedOn w:val="Normal"/>
    <w:next w:val="BodyText"/>
    <w:qFormat/>
    <w:pPr>
      <w:jc w:val="center"/>
    </w:pPr>
    <w:rPr>
      <w:rFonts w:cs="Arial"/>
      <w:bCs/>
      <w:szCs w:val="32"/>
      <w:u w:val="single"/>
    </w:rPr>
  </w:style>
  <w:style w:type="paragraph" w:styleId="BodyText">
    <w:name w:val="Body Text"/>
    <w:basedOn w:val="Normal"/>
    <w:pPr>
      <w:ind w:firstLine="1080" w:start="0" w:end="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ContinuationSeparator">
    <w:name w:val="Footnote Continuation Separator"/>
    <w:basedOn w:val="Normal"/>
    <w:qFormat/>
    <w:pPr>
      <w:pBdr>
        <w:top w:val="single" w:sz="4" w:space="1" w:color="000000"/>
      </w:pBdr>
      <w:spacing w:before="120" w:after="240"/>
      <w:ind w:hanging="0" w:start="0" w:end="5400"/>
    </w:pPr>
    <w:rPr/>
  </w:style>
  <w:style w:type="paragraph" w:styleId="Date">
    <w:name w:val="Date"/>
    <w:basedOn w:val="Normal"/>
    <w:next w:val="Normal"/>
    <w:qFormat/>
    <w:pPr>
      <w:spacing w:before="0" w:after="540"/>
      <w:ind w:hanging="0" w:start="4176"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spacing w:before="180" w:after="0"/>
    </w:pPr>
    <w:rPr>
      <w:rFonts w:cs="Arial"/>
      <w:szCs w:val="24"/>
    </w:rPr>
  </w:style>
  <w:style w:type="paragraph" w:styleId="MessageHeaderLabel">
    <w:name w:val="Message Header Label"/>
    <w:basedOn w:val="Normal"/>
    <w:qFormat/>
    <w:pPr>
      <w:spacing w:before="120" w:after="0"/>
    </w:pPr>
    <w:rPr>
      <w:rFonts w:ascii="TheSansBoldPlain;Courier New" w:hAnsi="TheSansBoldPlain;Courier New" w:cs="TheSansBoldPlain;Courier New"/>
      <w:sz w:val="22"/>
    </w:rPr>
  </w:style>
  <w:style w:type="paragraph" w:styleId="FootnoteSeparator">
    <w:name w:val="Footnote Separator"/>
    <w:basedOn w:val="Normal"/>
    <w:qFormat/>
    <w:pPr>
      <w:pBdr>
        <w:top w:val="single" w:sz="4" w:space="1" w:color="000000"/>
      </w:pBdr>
      <w:spacing w:before="120" w:after="120"/>
      <w:ind w:hanging="0" w:start="0" w:end="5400"/>
    </w:pPr>
    <w:rPr/>
  </w:style>
  <w:style w:type="paragraph" w:styleId="FootnoteText">
    <w:name w:val="footnote text"/>
    <w:basedOn w:val="Normal"/>
    <w:pPr>
      <w:ind w:hanging="360" w:start="360" w:end="0"/>
    </w:pPr>
    <w:rPr/>
  </w:style>
  <w:style w:type="paragraph" w:styleId="zCPMatter">
    <w:name w:val="zCPMatter"/>
    <w:basedOn w:val="Normal"/>
    <w:qFormat/>
    <w:pPr>
      <w:spacing w:before="0" w:after="0"/>
      <w:ind w:hanging="936" w:start="0" w:end="0"/>
    </w:pPr>
    <w:rPr>
      <w:sz w:val="22"/>
    </w:rPr>
  </w:style>
  <w:style w:type="paragraph" w:styleId="PCDOCSFooter">
    <w:name w:val="PCDOCSFooter"/>
    <w:basedOn w:val="zCPMatter"/>
    <w:qFormat/>
    <w:pPr>
      <w:ind w:hanging="0" w:start="-1267" w:end="0"/>
    </w:pPr>
    <w:rPr>
      <w:sz w:val="14"/>
    </w:rPr>
  </w:style>
  <w:style w:type="paragraph" w:styleId="PCDOCSFirstFooter">
    <w:name w:val="PCDOCSFirstFooter"/>
    <w:basedOn w:val="PCDOCSFooter"/>
    <w:qFormat/>
    <w:pPr/>
    <w:rPr/>
  </w:style>
  <w:style w:type="paragraph" w:styleId="PCDOCSLastFooter">
    <w:name w:val="PCDOCSLastFooter"/>
    <w:basedOn w:val="PCDOCSFooter"/>
    <w:qFormat/>
    <w:pPr>
      <w:spacing w:before="0" w:after="360"/>
    </w:pPr>
    <w:rPr>
      <w:color w:val="FFFFFF"/>
    </w:rPr>
  </w:style>
  <w:style w:type="paragraph" w:styleId="FootnoteContinuationNotice">
    <w:name w:val="Footnote Continuation Notice"/>
    <w:basedOn w:val="Normal"/>
    <w:qFormat/>
    <w:pPr>
      <w:spacing w:before="240" w:after="240"/>
      <w:jc w:val="end"/>
    </w:pPr>
    <w:rPr/>
  </w:style>
  <w:style w:type="paragraph" w:styleId="Draft">
    <w:name w:val="Draft"/>
    <w:basedOn w:val="BodyText"/>
    <w:qFormat/>
    <w:pPr>
      <w:ind w:hanging="0" w:start="0" w:end="0"/>
      <w:jc w:val="end"/>
    </w:pPr>
    <w:rPr>
      <w:sz w:val="20"/>
    </w:rPr>
  </w:style>
  <w:style w:type="paragraph" w:styleId="ListContinue2">
    <w:name w:val="List Continue 2"/>
    <w:basedOn w:val="Normal"/>
    <w:qFormat/>
    <w:pPr>
      <w:ind w:hanging="0" w:start="1440" w:end="0"/>
    </w:pPr>
    <w:rPr/>
  </w:style>
  <w:style w:type="paragraph" w:styleId="EnvelopeAddress">
    <w:name w:val="envelope address"/>
    <w:basedOn w:val="Normal"/>
    <w:pPr>
      <w:spacing w:before="0" w:after="0"/>
      <w:ind w:hanging="0" w:start="2880" w:end="0"/>
    </w:pPr>
    <w:rPr>
      <w:rFonts w:cs="Arial"/>
      <w:szCs w:val="24"/>
    </w:rPr>
  </w:style>
  <w:style w:type="paragraph" w:styleId="EndnoteText">
    <w:name w:val="endnote text"/>
    <w:basedOn w:val="Normal"/>
    <w:pPr/>
    <w:rPr/>
  </w:style>
  <w:style w:type="paragraph" w:styleId="ListContinue3">
    <w:name w:val="List Continue 3"/>
    <w:basedOn w:val="Normal"/>
    <w:qFormat/>
    <w:pPr>
      <w:ind w:hanging="0" w:start="2160" w:end="0"/>
    </w:pPr>
    <w:rPr/>
  </w:style>
  <w:style w:type="paragraph" w:styleId="ListContinue4">
    <w:name w:val="List Continue 4"/>
    <w:basedOn w:val="Normal"/>
    <w:qFormat/>
    <w:pPr>
      <w:ind w:hanging="0" w:start="1440" w:end="0"/>
    </w:pPr>
    <w:rPr/>
  </w:style>
  <w:style w:type="paragraph" w:styleId="ListContinue5">
    <w:name w:val="List Continue 5"/>
    <w:basedOn w:val="Normal"/>
    <w:qFormat/>
    <w:pPr>
      <w:ind w:hanging="0" w:start="3600" w:end="0"/>
    </w:pPr>
    <w:rPr/>
  </w:style>
  <w:style w:type="paragraph" w:styleId="ListNumber">
    <w:name w:val="List Number"/>
    <w:basedOn w:val="Normal"/>
    <w:qFormat/>
    <w:pPr>
      <w:numPr>
        <w:ilvl w:val="0"/>
        <w:numId w:val="10"/>
      </w:numPr>
      <w:tabs>
        <w:tab w:val="clear" w:pos="720"/>
      </w:tabs>
      <w:ind w:hanging="720" w:start="720" w:end="0"/>
    </w:pPr>
    <w:rPr/>
  </w:style>
  <w:style w:type="paragraph" w:styleId="ListNumber2">
    <w:name w:val="List Number 2"/>
    <w:basedOn w:val="Normal"/>
    <w:qFormat/>
    <w:pPr>
      <w:numPr>
        <w:ilvl w:val="0"/>
        <w:numId w:val="5"/>
      </w:numPr>
      <w:tabs>
        <w:tab w:val="clear" w:pos="720"/>
      </w:tabs>
      <w:ind w:hanging="720" w:start="1440" w:end="0"/>
    </w:pPr>
    <w:rPr/>
  </w:style>
  <w:style w:type="paragraph" w:styleId="ListNumber3">
    <w:name w:val="List Number 3"/>
    <w:basedOn w:val="Normal"/>
    <w:qFormat/>
    <w:pPr>
      <w:numPr>
        <w:ilvl w:val="0"/>
        <w:numId w:val="4"/>
      </w:numPr>
      <w:tabs>
        <w:tab w:val="clear" w:pos="720"/>
      </w:tabs>
      <w:ind w:hanging="720" w:start="2160" w:end="0"/>
    </w:pPr>
    <w:rPr/>
  </w:style>
  <w:style w:type="paragraph" w:styleId="ListNumber4">
    <w:name w:val="List Number 4"/>
    <w:basedOn w:val="Normal"/>
    <w:qFormat/>
    <w:pPr>
      <w:numPr>
        <w:ilvl w:val="0"/>
        <w:numId w:val="3"/>
      </w:numPr>
      <w:tabs>
        <w:tab w:val="clear" w:pos="720"/>
      </w:tabs>
      <w:ind w:hanging="720" w:start="2880" w:end="0"/>
    </w:pPr>
    <w:rPr/>
  </w:style>
  <w:style w:type="paragraph" w:styleId="ListNumber5">
    <w:name w:val="List Number 5"/>
    <w:basedOn w:val="Normal"/>
    <w:qFormat/>
    <w:pPr>
      <w:numPr>
        <w:ilvl w:val="0"/>
        <w:numId w:val="2"/>
      </w:numPr>
      <w:tabs>
        <w:tab w:val="clear" w:pos="720"/>
      </w:tabs>
      <w:ind w:hanging="720" w:start="3600" w:end="0"/>
    </w:pPr>
    <w:rPr/>
  </w:style>
  <w:style w:type="paragraph" w:styleId="BodyText2">
    <w:name w:val="Body Text 2"/>
    <w:basedOn w:val="Normal"/>
    <w:qFormat/>
    <w:pPr>
      <w:spacing w:lineRule="auto" w:line="480"/>
    </w:pPr>
    <w:rPr/>
  </w:style>
  <w:style w:type="paragraph" w:styleId="BodyText3">
    <w:name w:val="Body Text 3"/>
    <w:basedOn w:val="Normal"/>
    <w:qFormat/>
    <w:pPr/>
    <w:rPr>
      <w:szCs w:val="16"/>
    </w:rPr>
  </w:style>
  <w:style w:type="paragraph" w:styleId="BodyTextFirstIndent">
    <w:name w:val="Body Text First Indent"/>
    <w:basedOn w:val="BodyText"/>
    <w:qFormat/>
    <w:pPr>
      <w:ind w:firstLine="216" w:start="0" w:end="0"/>
    </w:pPr>
    <w:rPr/>
  </w:style>
  <w:style w:type="paragraph" w:styleId="BodyTextIndent">
    <w:name w:val="Body Text Indent"/>
    <w:basedOn w:val="Normal"/>
    <w:pPr>
      <w:ind w:firstLine="533" w:start="547" w:end="0"/>
    </w:pPr>
    <w:rPr/>
  </w:style>
  <w:style w:type="paragraph" w:styleId="BodyTextFirstIndent2">
    <w:name w:val="Body Text First Indent 2"/>
    <w:basedOn w:val="BodyTextIndent"/>
    <w:qFormat/>
    <w:pPr>
      <w:ind w:firstLine="216" w:start="720" w:end="0"/>
    </w:pPr>
    <w:rPr/>
  </w:style>
  <w:style w:type="paragraph" w:styleId="BodyTextIndent2">
    <w:name w:val="Body Text Indent 2"/>
    <w:basedOn w:val="Normal"/>
    <w:qFormat/>
    <w:pPr>
      <w:spacing w:lineRule="auto" w:line="480"/>
      <w:ind w:hanging="0" w:start="360" w:end="0"/>
    </w:pPr>
    <w:rPr/>
  </w:style>
  <w:style w:type="paragraph" w:styleId="BodyTextIndent3">
    <w:name w:val="Body Text Indent 3"/>
    <w:basedOn w:val="Normal"/>
    <w:qFormat/>
    <w:pPr>
      <w:ind w:hanging="0" w:start="360" w:end="0"/>
    </w:pPr>
    <w:rPr>
      <w:szCs w:val="16"/>
    </w:rPr>
  </w:style>
  <w:style w:type="paragraph" w:styleId="EnvelopeReturn">
    <w:name w:val="envelope return"/>
    <w:basedOn w:val="Normal"/>
    <w:pPr/>
    <w:rPr>
      <w:rFonts w:cs="Arial"/>
      <w:sz w:val="20"/>
    </w:rPr>
  </w:style>
  <w:style w:type="paragraph" w:styleId="BlockText">
    <w:name w:val="Block Text"/>
    <w:basedOn w:val="Normal"/>
    <w:qFormat/>
    <w:pPr>
      <w:tabs>
        <w:tab w:val="clear" w:pos="720"/>
        <w:tab w:val="left" w:pos="1080" w:leader="none"/>
      </w:tabs>
      <w:ind w:hanging="0" w:start="547" w:end="1080"/>
    </w:pPr>
    <w:rPr/>
  </w:style>
  <w:style w:type="paragraph" w:styleId="Subtitle">
    <w:name w:val="Subtitle"/>
    <w:basedOn w:val="Normal"/>
    <w:next w:val="BodyText"/>
    <w:qFormat/>
    <w:pPr/>
    <w:rPr>
      <w:rFonts w:cs="Arial"/>
      <w:szCs w:val="24"/>
      <w:u w:val="single"/>
    </w:rPr>
  </w:style>
  <w:style w:type="paragraph" w:styleId="TableText">
    <w:name w:val="Table Text"/>
    <w:basedOn w:val="Normal"/>
    <w:qFormat/>
    <w:pPr>
      <w:spacing w:before="0" w:after="0"/>
    </w:pPr>
    <w:rPr/>
  </w:style>
  <w:style w:type="paragraph" w:styleId="ListContinue">
    <w:name w:val="List Continue"/>
    <w:basedOn w:val="Normal"/>
    <w:qFormat/>
    <w:pPr>
      <w:ind w:hanging="0" w:start="360" w:end="0"/>
    </w:pPr>
    <w:rPr/>
  </w:style>
  <w:style w:type="paragraph" w:styleId="DocumentMap">
    <w:name w:val="Document Map"/>
    <w:basedOn w:val="Normal"/>
    <w:qFormat/>
    <w:pPr>
      <w:shd w:fill="000080" w:val="clear"/>
    </w:pPr>
    <w:rPr>
      <w:rFonts w:ascii="Tahoma" w:hAnsi="Tahoma" w:cs="Tahoma"/>
    </w:rPr>
  </w:style>
  <w:style w:type="paragraph" w:styleId="ListBullet">
    <w:name w:val="List Bullet"/>
    <w:basedOn w:val="Normal"/>
    <w:qFormat/>
    <w:pPr>
      <w:numPr>
        <w:ilvl w:val="0"/>
        <w:numId w:val="11"/>
      </w:numPr>
      <w:tabs>
        <w:tab w:val="clear" w:pos="720"/>
      </w:tabs>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
    <w:name w:val="List Bullet 4"/>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TOAHeading">
    <w:name w:val="TOA Heading"/>
    <w:basedOn w:val="Normal"/>
    <w:next w:val="Normal"/>
    <w:qFormat/>
    <w:pPr>
      <w:spacing w:before="120" w:after="240"/>
    </w:pPr>
    <w:rPr>
      <w:rFonts w:cs="Arial"/>
      <w:b/>
      <w:bCs/>
      <w:szCs w:val="24"/>
    </w:rPr>
  </w:style>
  <w:style w:type="paragraph" w:styleId="HeaderLeft">
    <w:name w:val="Header Left"/>
    <w:basedOn w:val="Header"/>
    <w:qFormat/>
    <w:pPr>
      <w:suppressLineNumbers/>
      <w:tabs>
        <w:tab w:val="clear" w:pos="4320"/>
        <w:tab w:val="clear" w:pos="8640"/>
        <w:tab w:val="center" w:pos="4536" w:leader="none"/>
        <w:tab w:val="right" w:pos="9072"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dcfml2k.dot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2001-11-01T20:48:00Z</dcterms:created>
  <dc:creator>Todd E. Alexander</dc:creator>
  <dc:description/>
  <cp:keywords>15232/006</cp:keywords>
  <dc:language>en-CA</dc:language>
  <cp:lastModifiedBy>opic</cp:lastModifiedBy>
  <cp:lastPrinted>2001-11-01T18:13:00Z</cp:lastPrinted>
  <dcterms:modified xsi:type="dcterms:W3CDTF">2001-11-01T20:52:00Z</dcterms:modified>
  <cp:revision>3</cp:revision>
  <dc:subject>R. Greenberg Memorandum</dc:subject>
  <dc:title>DC1 - 158403.03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DC Formal Memorandum 2K</vt:lpwstr>
  </property>
  <property fmtid="{D5CDD505-2E9C-101B-9397-08002B2CF9AE}" pid="3" name="Updated">
    <vt:lpwstr>September 28, 2001</vt:lpwstr>
  </property>
  <property fmtid="{D5CDD505-2E9C-101B-9397-08002B2CF9AE}" pid="4" name="Version">
    <vt:lpwstr>9.0</vt:lpwstr>
  </property>
</Properties>
</file>