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pPr>
            <w:r>
              <w:rPr>
                <w:b/>
                <w:sz w:val="24"/>
              </w:rPr>
              <w:t>Date:</w:t>
            </w:r>
            <w:r>
              <w:rPr>
                <w:sz w:val="24"/>
              </w:rPr>
              <w:t xml:space="preserve"> June 4, 2001</w:t>
            </w:r>
          </w:p>
        </w:tc>
      </w:tr>
    </w:tbl>
    <w:p>
      <w:pPr>
        <w:pStyle w:val="BodyText"/>
        <w:rPr/>
      </w:pPr>
      <w:r>
        <w:rPr/>
      </w:r>
    </w:p>
    <w:p>
      <w:pPr>
        <w:pStyle w:val="BodyText"/>
        <w:rPr/>
      </w:pPr>
      <w:r>
        <w:rPr/>
      </w:r>
    </w:p>
    <w:p>
      <w:pPr>
        <w:pStyle w:val="BodyText"/>
        <w:numPr>
          <w:ilvl w:val="0"/>
          <w:numId w:val="0"/>
        </w:numPr>
        <w:outlineLvl w:val="0"/>
        <w:rPr/>
      </w:pPr>
      <w:r>
        <w:rPr>
          <w:b/>
        </w:rPr>
        <w:t>For Release:</w:t>
      </w:r>
      <w:r>
        <w:rPr/>
        <w:t xml:space="preserve"> Immediately</w:t>
      </w:r>
    </w:p>
    <w:p>
      <w:pPr>
        <w:pStyle w:val="BodyText"/>
        <w:numPr>
          <w:ilvl w:val="0"/>
          <w:numId w:val="0"/>
        </w:numPr>
        <w:outlineLvl w:val="0"/>
        <w:rPr/>
      </w:pPr>
      <w:r>
        <w:rPr>
          <w:b/>
        </w:rPr>
        <w:t>Refer to:</w:t>
      </w:r>
      <w:r>
        <w:rPr/>
        <w:t xml:space="preserve"> (</w:t>
      </w:r>
      <w:r>
        <w:fldChar w:fldCharType="begin">
          <w:ffData>
            <w:name w:val="Text11"/>
            <w:enabled/>
            <w:calcOnExit w:val="0"/>
            <w:textInput/>
          </w:ffData>
        </w:fldChar>
      </w:r>
      <w:r>
        <w:rPr/>
        <w:instrText xml:space="preserve"> FORMTEXT </w:instrText>
      </w:r>
      <w:r>
        <w:rPr/>
      </w:r>
      <w:r>
        <w:rPr/>
        <w:fldChar w:fldCharType="separate"/>
      </w:r>
      <w:r>
        <w:rPr/>
        <w:t>317) 277-6265 -- Judy Kay Moore, Lilly</w:t>
      </w:r>
      <w:r>
        <w:rPr/>
      </w:r>
      <w:r>
        <w:rPr/>
        <w:fldChar w:fldCharType="end"/>
      </w:r>
      <w:r>
        <w:rPr/>
        <w:t xml:space="preserve"> </w:t>
      </w:r>
    </w:p>
    <w:p>
      <w:pPr>
        <w:pStyle w:val="BodyText"/>
        <w:ind w:start="945" w:end="0"/>
        <w:rPr/>
      </w:pPr>
      <w:r>
        <w:rPr/>
        <w:t>(</w:t>
      </w:r>
      <w:r>
        <w:fldChar w:fldCharType="begin">
          <w:ffData>
            <w:name w:val="Text11 Copy 1"/>
            <w:enabled/>
            <w:calcOnExit w:val="0"/>
            <w:textInput/>
          </w:ffData>
        </w:fldChar>
      </w:r>
      <w:r>
        <w:rPr/>
        <w:instrText xml:space="preserve"> FORMTEXT </w:instrText>
      </w:r>
      <w:r>
        <w:rPr/>
      </w:r>
      <w:r>
        <w:rPr/>
        <w:fldChar w:fldCharType="separate"/>
      </w:r>
      <w:r>
        <w:rPr/>
        <w:t>212) 697-9588 -- Amy Francis, Ph.D., Cancer Research Fund</w:t>
      </w:r>
      <w:r/>
      <w:r>
        <w:rPr/>
        <w:fldChar w:fldCharType="end"/>
      </w:r>
      <w:r>
        <w:rPr/>
      </w:r>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numPr>
          <w:ilvl w:val="0"/>
          <w:numId w:val="0"/>
        </w:numPr>
        <w:jc w:val="center"/>
        <w:outlineLvl w:val="0"/>
        <w:rPr/>
      </w:pPr>
      <w:r>
        <w:rPr>
          <w:b/>
        </w:rPr>
        <w:t>Initiative to Accelerate Research Breakthroughs Enters 2</w:t>
      </w:r>
      <w:r>
        <w:rPr>
          <w:b/>
          <w:vertAlign w:val="superscript"/>
        </w:rPr>
        <w:t>nd</w:t>
      </w:r>
      <w:r>
        <w:rPr>
          <w:b/>
        </w:rPr>
        <w:t xml:space="preserve"> </w:t>
      </w:r>
    </w:p>
    <w:p>
      <w:pPr>
        <w:pStyle w:val="BodyText"/>
        <w:numPr>
          <w:ilvl w:val="0"/>
          <w:numId w:val="0"/>
        </w:numPr>
        <w:jc w:val="center"/>
        <w:outlineLvl w:val="0"/>
        <w:rPr>
          <w:i/>
          <w:i/>
        </w:rPr>
      </w:pPr>
      <w:r>
        <w:rPr>
          <w:i/>
        </w:rPr>
        <w:t>Eli Lilly and Company Commits $15 Million Over Five Years To The Cancer Research Fund of the Damon Runyon-Walter Winchell Foundation</w:t>
      </w:r>
    </w:p>
    <w:p>
      <w:pPr>
        <w:pStyle w:val="BodyTextIndent"/>
        <w:rPr>
          <w:i/>
          <w:i/>
          <w:sz w:val="24"/>
        </w:rPr>
      </w:pPr>
      <w:r>
        <w:rPr>
          <w:i/>
          <w:sz w:val="24"/>
        </w:rPr>
      </w:r>
    </w:p>
    <w:p>
      <w:pPr>
        <w:pStyle w:val="BodyTextIndent"/>
        <w:ind w:hanging="0" w:end="0"/>
        <w:rPr>
          <w:sz w:val="24"/>
        </w:rPr>
      </w:pPr>
      <w:r>
        <w:rPr>
          <w:sz w:val="24"/>
        </w:rPr>
        <w:t xml:space="preserve">In response to the dramatic decline in the number of physicians choosing careers in patient-based research, Eli Lilly and Company has made the second installment of a five year, $15 million grant designed to bring more physicians into the clinical research discipline.  </w:t>
      </w:r>
    </w:p>
    <w:p>
      <w:pPr>
        <w:pStyle w:val="BodyTextIndent"/>
        <w:ind w:hanging="0" w:end="0"/>
        <w:rPr>
          <w:sz w:val="24"/>
        </w:rPr>
      </w:pPr>
      <w:r>
        <w:rPr>
          <w:sz w:val="24"/>
        </w:rPr>
      </w:r>
    </w:p>
    <w:p>
      <w:pPr>
        <w:pStyle w:val="BodyTextIndent"/>
        <w:ind w:hanging="0" w:end="0"/>
        <w:rPr/>
      </w:pPr>
      <w:r>
        <w:rPr>
          <w:sz w:val="24"/>
        </w:rPr>
        <w:t xml:space="preserve">"Clinical investigators build the bridge between the laboratory and the patient," said Homer Pearce, Ph.D., vice president of cancer research and clinical investigation at Lilly.  "Today, and in the future, new technologies will enable breakthroughs that will change the practice of medicine.  If we don't commit to training and equipping each new generation of investigators, many breakthroughs will be delayed or simply not happen." </w:t>
      </w:r>
    </w:p>
    <w:p>
      <w:pPr>
        <w:pStyle w:val="Normal"/>
        <w:spacing w:lineRule="auto" w:line="360"/>
        <w:rPr>
          <w:sz w:val="24"/>
        </w:rPr>
      </w:pPr>
      <w:r>
        <w:rPr>
          <w:sz w:val="24"/>
        </w:rPr>
      </w:r>
    </w:p>
    <w:p>
      <w:pPr>
        <w:pStyle w:val="Normal"/>
        <w:spacing w:lineRule="auto" w:line="360"/>
        <w:rPr>
          <w:sz w:val="24"/>
        </w:rPr>
      </w:pPr>
      <w:r>
        <w:rPr>
          <w:sz w:val="24"/>
        </w:rPr>
        <w:t xml:space="preserve">Physician-scientists have been decreasing in number since the mid-1980s, according to the American Medical Association.  In 1984, for example, the number of physician-scientists totaled 23,000.  That number fell 37 percent to 15,000 in 1999, the most recent year for which statistics are available.  </w:t>
      </w:r>
    </w:p>
    <w:p>
      <w:pPr>
        <w:pStyle w:val="BodyTextIndent"/>
        <w:ind w:hanging="0" w:end="0"/>
        <w:rPr>
          <w:sz w:val="24"/>
        </w:rPr>
      </w:pPr>
      <w:r>
        <w:rPr>
          <w:sz w:val="24"/>
        </w:rPr>
      </w:r>
    </w:p>
    <w:p>
      <w:pPr>
        <w:pStyle w:val="BodyTextIndent"/>
        <w:ind w:hanging="0" w:end="0"/>
        <w:rPr/>
      </w:pPr>
      <w:r>
        <w:rPr>
          <w:sz w:val="24"/>
        </w:rPr>
        <w:t>While several factors are to blame, most revolve around time and money.  Fewer institutions are able to commit the necessary funds to train young physicians in clinical investigation, and it is often not economically feasible for senior investigators at those institutions to devote time to mentoring and teaching.  Additionally, according to the Association of American</w:t>
      </w:r>
      <w:r>
        <w:rPr>
          <w:color w:val="0000FF"/>
          <w:sz w:val="24"/>
        </w:rPr>
        <w:t xml:space="preserve"> </w:t>
      </w:r>
      <w:r>
        <w:rPr>
          <w:sz w:val="24"/>
        </w:rPr>
        <w:t xml:space="preserve">Medical Colleges, medical school graduates have an average debt of $94,000, not including loans carried over from their undergraduate studies.  With this heavy burden, many medical school graduates choose to go directly into practice and devote all of their time to billable services. </w:t>
      </w:r>
    </w:p>
    <w:p>
      <w:pPr>
        <w:pStyle w:val="Normal"/>
        <w:spacing w:lineRule="auto" w:line="360"/>
        <w:rPr>
          <w:sz w:val="24"/>
        </w:rPr>
      </w:pPr>
      <w:r>
        <w:rPr>
          <w:sz w:val="24"/>
        </w:rPr>
      </w:r>
    </w:p>
    <w:p>
      <w:pPr>
        <w:pStyle w:val="Normal"/>
        <w:spacing w:lineRule="auto" w:line="360"/>
        <w:rPr/>
      </w:pPr>
      <w:r>
        <w:rPr>
          <w:sz w:val="24"/>
        </w:rPr>
        <w:t xml:space="preserve">Last year, in response to these realities, and with support from Lilly, the Cancer Research Fund of the Damon Runyon-Walter Winchell Foundation launched a new initiative, known as the Clinical Investigator Award, to revive the field of clinical investigation. "This unique award is specifically intended to provide outstanding young physicians with the resources and training essential to becoming first rate clinical investigators," said Richard O'Reilly, M.D., Chairman of the Clinical Investigator Award Committee and </w:t>
      </w:r>
      <w:r>
        <w:rPr>
          <w:color w:val="000000"/>
          <w:sz w:val="24"/>
        </w:rPr>
        <w:t>Chairman, Department of Pediatrics and Chief, Bone Marrow Transplant Service at Memorial Sloan-Kettering Cancer Center in New York.</w:t>
      </w:r>
      <w:r>
        <w:rPr>
          <w:color w:val="0000FF"/>
          <w:sz w:val="24"/>
        </w:rPr>
        <w:t xml:space="preserve"> </w:t>
      </w:r>
    </w:p>
    <w:p>
      <w:pPr>
        <w:pStyle w:val="Normal"/>
        <w:spacing w:lineRule="auto" w:line="360"/>
        <w:rPr>
          <w:color w:val="0000FF"/>
          <w:sz w:val="24"/>
        </w:rPr>
      </w:pPr>
      <w:r>
        <w:rPr>
          <w:color w:val="0000FF"/>
          <w:sz w:val="24"/>
        </w:rPr>
      </w:r>
    </w:p>
    <w:p>
      <w:pPr>
        <w:pStyle w:val="Normal"/>
        <w:spacing w:lineRule="auto" w:line="360"/>
        <w:rPr/>
      </w:pPr>
      <w:r>
        <w:rPr>
          <w:sz w:val="24"/>
        </w:rPr>
        <w:t xml:space="preserve">Each year, the award goes out to five outstanding young physicians and their mentors, who collectively receive a total $1.1 million to support their research endeavors.  The size of the award enables junior physicians to devote about 80 percent of their time to research, instead of 10 or 20 percent, according to O'Reilly.  It also makes it economically feasible for senior investigators to provide the mentoring and teaching that young doctors require.  </w:t>
      </w:r>
    </w:p>
    <w:p>
      <w:pPr>
        <w:pStyle w:val="Normal"/>
        <w:spacing w:lineRule="auto" w:line="360"/>
        <w:rPr>
          <w:sz w:val="24"/>
        </w:rPr>
      </w:pPr>
      <w:r>
        <w:rPr>
          <w:sz w:val="24"/>
        </w:rPr>
      </w:r>
    </w:p>
    <w:p>
      <w:pPr>
        <w:pStyle w:val="Normal"/>
        <w:spacing w:lineRule="auto" w:line="360"/>
        <w:rPr/>
      </w:pPr>
      <w:r>
        <w:rPr>
          <w:sz w:val="24"/>
        </w:rPr>
        <w:t>As part of the award, the Fund covers such expenses as the purchase of equipment and, more significantly, will retire up to $100,000 of medical school debt for those who successfully complete the five-year program and remain committed to clinical research for an additional five years.</w:t>
      </w:r>
    </w:p>
    <w:p>
      <w:pPr>
        <w:pStyle w:val="Normal"/>
        <w:spacing w:lineRule="auto" w:line="360"/>
        <w:rPr>
          <w:sz w:val="24"/>
        </w:rPr>
      </w:pPr>
      <w:r>
        <w:rPr>
          <w:sz w:val="24"/>
        </w:rPr>
      </w:r>
    </w:p>
    <w:p>
      <w:pPr>
        <w:pStyle w:val="Normal"/>
        <w:spacing w:lineRule="auto" w:line="360"/>
        <w:rPr/>
      </w:pPr>
      <w:r>
        <w:rPr>
          <w:sz w:val="24"/>
        </w:rPr>
        <w:t>For Vered Stearns, M.D., an award recipient and breast cancer researcher at Georgetown University Medical Center, the award is a "marvelous validation" of her decision to pursue clinical research.  Stearns admits her decision to become a clinical investigator wasn't an easy one, but "when I saw what breast cancer patients and their families go through, especially the young ones with children, I thought to myself, 'we have to do better.' "  With her funding, Stearns is studying tumor changes at the molecular level among patients with Stage III breast cancer.  She hopes to define interim "signposts" that will reveal how treatment is affecting the course of the disease</w:t>
      </w:r>
    </w:p>
    <w:p>
      <w:pPr>
        <w:pStyle w:val="Normal"/>
        <w:spacing w:lineRule="auto" w:line="360"/>
        <w:rPr>
          <w:sz w:val="24"/>
        </w:rPr>
      </w:pPr>
      <w:r>
        <w:rPr>
          <w:sz w:val="24"/>
        </w:rPr>
        <w:t xml:space="preserve">and, from there, devise ways to predict which combinations of traditional and novel treatment will work best for which patients, and what the best timing would be for their use.  </w:t>
      </w:r>
    </w:p>
    <w:p>
      <w:pPr>
        <w:pStyle w:val="Normal"/>
        <w:spacing w:lineRule="auto" w:line="360"/>
        <w:rPr>
          <w:sz w:val="24"/>
        </w:rPr>
      </w:pPr>
      <w:r>
        <w:rPr>
          <w:sz w:val="24"/>
        </w:rPr>
      </w:r>
    </w:p>
    <w:p>
      <w:pPr>
        <w:pStyle w:val="Normal"/>
        <w:spacing w:lineRule="auto" w:line="360"/>
        <w:rPr>
          <w:sz w:val="24"/>
        </w:rPr>
      </w:pPr>
      <w:r>
        <w:rPr>
          <w:sz w:val="24"/>
        </w:rPr>
        <w:t>"We absolutely must channel the power of science to ease suffering and improve the quality of life," said Stearns.</w:t>
      </w:r>
    </w:p>
    <w:p>
      <w:pPr>
        <w:pStyle w:val="Normal"/>
        <w:spacing w:lineRule="auto" w:line="360"/>
        <w:rPr>
          <w:sz w:val="24"/>
        </w:rPr>
      </w:pPr>
      <w:r>
        <w:rPr>
          <w:sz w:val="24"/>
        </w:rPr>
      </w:r>
    </w:p>
    <w:p>
      <w:pPr>
        <w:pStyle w:val="Normal"/>
        <w:spacing w:lineRule="auto" w:line="360"/>
        <w:rPr>
          <w:sz w:val="24"/>
        </w:rPr>
      </w:pPr>
      <w:r>
        <w:rPr>
          <w:sz w:val="24"/>
        </w:rPr>
        <w:t xml:space="preserve">The 2001 recipients of the Clinical Investigator Award were announced earlier this month at the annual meeting of the American Society of Clinical Oncology.  The recipients and their mentors are: </w:t>
      </w:r>
    </w:p>
    <w:p>
      <w:pPr>
        <w:pStyle w:val="Normal"/>
        <w:spacing w:lineRule="auto" w:line="360"/>
        <w:ind w:firstLine="720" w:end="0"/>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Physician</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Research Focus</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Mentor</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Institution</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Joseph Califano, M.D.</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sz w:val="24"/>
              </w:rPr>
              <w:t>Head and Neck Ca</w:t>
            </w:r>
            <w:r>
              <w:rPr>
                <w:sz w:val="24"/>
              </w:rPr>
              <w:t>ncer</w:t>
            </w:r>
          </w:p>
        </w:tc>
        <w:tc>
          <w:tcPr>
            <w:tcW w:w="239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sz w:val="24"/>
              </w:rPr>
              <w:t>David Sidransky, M.D.; Anthony Alberg, Ph.D., M.P.H.</w:t>
            </w:r>
          </w:p>
        </w:tc>
        <w:tc>
          <w:tcPr>
            <w:tcW w:w="239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sz w:val="24"/>
              </w:rPr>
              <w:t>Johns Hopkins University, Baltimore, MD</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Li Li, M.D., Ph.D.</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Colon Cancer</w:t>
            </w:r>
          </w:p>
        </w:tc>
        <w:tc>
          <w:tcPr>
            <w:tcW w:w="239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24"/>
              </w:rPr>
            </w:pPr>
            <w:r>
              <w:rPr>
                <w:sz w:val="24"/>
              </w:rPr>
              <w:t>Sanford Markowitz, M.D., Ph.D.; John Witte, Ph.D.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Case Western Reserve University, Cleveland, OH </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Jennifer Malin, M.D.</w:t>
            </w:r>
          </w:p>
        </w:tc>
        <w:tc>
          <w:tcPr>
            <w:tcW w:w="239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sz w:val="24"/>
              </w:rPr>
              <w:t>Chemotherapy Outcomes</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Katherine Kahn,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University of California, Los Angeles</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William Sellers, M.D.</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Prostate Cancer</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David Livingston,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Dana-Farber Cancer Institute, Boston, MA </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Cassian Yee, M.D.</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Melanoma</w:t>
            </w:r>
          </w:p>
        </w:tc>
        <w:tc>
          <w:tcPr>
            <w:tcW w:w="2394"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24"/>
              </w:rPr>
            </w:pPr>
            <w:r>
              <w:rPr>
                <w:sz w:val="24"/>
              </w:rPr>
              <w:t>Philip Greenberg,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Fred Hutchinson Cancer Research Center, Seattle, WA</w:t>
            </w:r>
          </w:p>
        </w:tc>
      </w:tr>
    </w:tbl>
    <w:p>
      <w:pPr>
        <w:sectPr>
          <w:type w:val="continuous"/>
          <w:pgSz w:w="12240" w:h="15840"/>
          <w:pgMar w:left="1440" w:right="1440" w:gutter="0" w:header="936" w:top="1440" w:footer="562" w:bottom="1440"/>
          <w:formProt w:val="false"/>
          <w:textDirection w:val="lrTb"/>
          <w:docGrid w:type="default" w:linePitch="360" w:charSpace="0"/>
        </w:sectPr>
        <w:pStyle w:val="BodyTextIndent2"/>
        <w:ind w:hanging="0" w:end="0"/>
        <w:rPr/>
      </w:pPr>
      <w:r>
        <w:rPr/>
      </w:r>
      <w:r>
        <w:br w:type="page"/>
      </w:r>
    </w:p>
    <w:p>
      <w:pPr>
        <w:pStyle w:val="BodyTextIndent2"/>
        <w:ind w:hanging="0" w:end="0"/>
        <w:rPr/>
      </w:pPr>
      <w:r>
        <w:rPr/>
        <w:t xml:space="preserve">In addition, the following physician-scientists and their mentors received the Clinical Investigator Award last year and continue to receive support for their research: </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Physician</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Research Focus</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Mentor</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Institution</w:t>
            </w:r>
          </w:p>
          <w:p>
            <w:pPr>
              <w:pStyle w:val="Normal"/>
              <w:rPr>
                <w:b/>
                <w:sz w:val="24"/>
              </w:rPr>
            </w:pPr>
            <w:r>
              <w:rPr>
                <w:b/>
                <w:sz w:val="24"/>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Rafael Fonseca,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Myeloma, a disease of the blood </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Philip Greipp,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Mayo Clinic, Rochester MN</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Maura Gillison,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Head and Neck Cancer</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Keerti Shah, M.D.,</w:t>
            </w:r>
          </w:p>
          <w:p>
            <w:pPr>
              <w:pStyle w:val="Normal"/>
              <w:rPr>
                <w:sz w:val="24"/>
              </w:rPr>
            </w:pPr>
            <w:r>
              <w:rPr>
                <w:sz w:val="24"/>
              </w:rPr>
              <w:t>Dr.Ph.</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Johns Hopkins University School of Medicine, Baltimore, MD</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Vered Stearns, M.D.</w:t>
            </w:r>
          </w:p>
        </w:tc>
        <w:tc>
          <w:tcPr>
            <w:tcW w:w="239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24"/>
              </w:rPr>
            </w:pPr>
            <w:r>
              <w:rPr>
                <w:sz w:val="24"/>
              </w:rPr>
              <w:t>Breast Cancer</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Daniel Hayes,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Georgetown University Medical Center, Washington, DC</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Robert Vonderheide, M.D., D.Phil.</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Cancer Vaccine</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Lee Nadler,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Dana-Farber Cancer Institute, Boston, MA</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Edus Warren, M.D., Ph.D.</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Leukemia and other</w:t>
            </w:r>
          </w:p>
          <w:p>
            <w:pPr>
              <w:pStyle w:val="Normal"/>
              <w:rPr>
                <w:sz w:val="24"/>
              </w:rPr>
            </w:pPr>
            <w:r>
              <w:rPr>
                <w:sz w:val="24"/>
              </w:rPr>
              <w:t>blood cancers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Stanley Riddell, M.D.</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sz w:val="24"/>
              </w:rPr>
              <w:t>Fred Hutchinson Cancer Research Center, Seattle, WA</w:t>
            </w:r>
          </w:p>
        </w:tc>
      </w:tr>
    </w:tbl>
    <w:p>
      <w:pPr>
        <w:pStyle w:val="Normal"/>
        <w:spacing w:lineRule="auto" w:line="360"/>
        <w:rPr>
          <w:sz w:val="24"/>
        </w:rPr>
      </w:pPr>
      <w:r>
        <w:rPr>
          <w:sz w:val="24"/>
        </w:rPr>
      </w:r>
    </w:p>
    <w:p>
      <w:pPr>
        <w:pStyle w:val="Normal"/>
        <w:spacing w:lineRule="auto" w:line="360"/>
        <w:rPr/>
      </w:pPr>
      <w:r>
        <w:rPr>
          <w:sz w:val="24"/>
        </w:rPr>
        <w:t>Since its founding, the Cancer Research Fund has gained worldwide prominence in cancer r</w:t>
      </w:r>
      <w:r>
        <w:rPr>
          <w:sz w:val="24"/>
        </w:rPr>
        <w:t xml:space="preserve">esearch by identifying outstanding young scientists and providing them with financial support for their research.  To date, the Fund has raised more than $120 million exclusively to support scientists in top universities and research centers around the world.  In addition to the Clinical Investigator Award, the Fund awards 60 Runyon-Winchell Post-Doctoral Fellowships and five Damon Runyon Scholar awards annually. Additional information about the Cancer Research Fund is available at </w:t>
      </w:r>
      <w:hyperlink r:id="rId4">
        <w:r>
          <w:rPr>
            <w:rStyle w:val="Hyperlink"/>
            <w:sz w:val="24"/>
          </w:rPr>
          <w:t>www.cancerresearchfund.org</w:t>
        </w:r>
      </w:hyperlink>
      <w:r>
        <w:rPr>
          <w:sz w:val="24"/>
        </w:rPr>
        <w:t>.</w:t>
      </w:r>
    </w:p>
    <w:p>
      <w:pPr>
        <w:pStyle w:val="Normal"/>
        <w:spacing w:lineRule="auto" w:line="360"/>
        <w:rPr>
          <w:sz w:val="24"/>
        </w:rPr>
      </w:pPr>
      <w:r>
        <w:rPr>
          <w:sz w:val="24"/>
        </w:rPr>
      </w:r>
    </w:p>
    <w:p>
      <w:pPr>
        <w:pStyle w:val="Normal"/>
        <w:spacing w:lineRule="auto" w:line="360"/>
        <w:rPr/>
      </w:pPr>
      <w:r>
        <w:rPr>
          <w:sz w:val="24"/>
        </w:rPr>
        <w:t xml:space="preserve">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  Additional information about Lilly is available at </w:t>
      </w:r>
      <w:hyperlink r:id="rId5">
        <w:r>
          <w:rPr>
            <w:rStyle w:val="Hyperlink"/>
            <w:sz w:val="24"/>
          </w:rPr>
          <w:t>www.lilly.com</w:t>
        </w:r>
      </w:hyperlink>
      <w:r>
        <w:rPr>
          <w:sz w:val="24"/>
        </w:rPr>
        <w:t>.</w:t>
      </w:r>
    </w:p>
    <w:p>
      <w:pPr>
        <w:pStyle w:val="Normal"/>
        <w:spacing w:lineRule="auto" w:line="360"/>
        <w:ind w:firstLine="720" w:end="0"/>
        <w:rPr>
          <w:sz w:val="24"/>
        </w:rPr>
      </w:pPr>
      <w:r>
        <w:rPr>
          <w:sz w:val="24"/>
        </w:rPr>
      </w:r>
    </w:p>
    <w:p>
      <w:pPr>
        <w:pStyle w:val="Normal"/>
        <w:spacing w:lineRule="atLeast" w:line="360"/>
        <w:jc w:val="center"/>
        <w:rPr>
          <w:sz w:val="24"/>
        </w:rPr>
      </w:pPr>
      <w:r>
        <w:rPr>
          <w:sz w:val="24"/>
        </w:rPr>
        <w:t>#</w:t>
        <w:tab/>
        <w:t>#</w:t>
        <w:tab/>
        <w:t>#</w:t>
      </w:r>
    </w:p>
    <w:sectPr>
      <w:headerReference w:type="default" r:id="rId6"/>
      <w:footerReference w:type="default" r:id="rId7"/>
      <w:type w:val="nextPage"/>
      <w:pgSz w:w="12240" w:h="15840"/>
      <w:pgMar w:left="1440" w:right="1440" w:gutter="0" w:header="936" w:top="2304" w:footer="56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880" w:type="dxa"/>
      <w:jc w:val="start"/>
      <w:tblInd w:w="-1987" w:type="dxa"/>
      <w:tblLayout w:type="fixed"/>
      <w:tblCellMar>
        <w:top w:w="0" w:type="dxa"/>
        <w:start w:w="0" w:type="dxa"/>
        <w:bottom w:w="0" w:type="dxa"/>
        <w:end w:w="0" w:type="dxa"/>
      </w:tblCellMar>
    </w:tblPr>
    <w:tblGrid>
      <w:gridCol w:w="11880"/>
    </w:tblGrid>
    <w:tr>
      <w:trPr>
        <w:trHeight w:val="360" w:hRule="atLeast"/>
      </w:trPr>
      <w:tc>
        <w:tcPr>
          <w:tcW w:w="11880" w:type="dxa"/>
          <w:tcBorders>
            <w:top w:val="single" w:sz="4" w:space="0" w:color="000000"/>
          </w:tcBorders>
        </w:tcPr>
        <w:p>
          <w:pPr>
            <w:pStyle w:val="Answers"/>
            <w:snapToGrid w:val="false"/>
            <w:spacing w:lineRule="exact" w:line="200" w:before="120" w:after="0"/>
            <w:ind w:start="0" w:end="216"/>
            <w:rPr/>
          </w:pPr>
          <w:r>
            <w:rPr/>
          </w:r>
        </w:p>
      </w:tc>
    </w:tr>
  </w:tbl>
  <w:p>
    <w:pPr>
      <w:pStyle w:val="Normal"/>
      <w:spacing w:lineRule="exact" w:line="180"/>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1974569296"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880" w:type="dxa"/>
      <w:jc w:val="start"/>
      <w:tblInd w:w="-1980" w:type="dxa"/>
      <w:tblLayout w:type="fixed"/>
      <w:tblCellMar>
        <w:top w:w="0" w:type="dxa"/>
        <w:start w:w="0" w:type="dxa"/>
        <w:bottom w:w="0" w:type="dxa"/>
        <w:end w:w="0" w:type="dxa"/>
      </w:tblCellMar>
    </w:tblPr>
    <w:tblGrid>
      <w:gridCol w:w="11880"/>
    </w:tblGrid>
    <w:tr>
      <w:trPr>
        <w:trHeight w:val="405" w:hRule="atLeast"/>
      </w:trPr>
      <w:tc>
        <w:tcPr>
          <w:tcW w:w="11880" w:type="dxa"/>
          <w:tcBorders>
            <w:bottom w:val="single" w:sz="4" w:space="0" w:color="000000"/>
          </w:tcBorders>
        </w:tcPr>
        <w:p>
          <w:pPr>
            <w:pStyle w:val="MemoFax"/>
            <w:snapToGrid w:val="false"/>
            <w:rPr/>
          </w:pPr>
          <w:r>
            <w:rPr/>
          </w:r>
        </w:p>
      </w:tc>
    </w:tr>
  </w:tbl>
  <w:p>
    <w:pPr>
      <w:pStyle w:val="Addres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lineRule="auto" w:line="360"/>
      <w:ind w:firstLine="720" w:start="0" w:end="0"/>
    </w:pPr>
    <w:rPr>
      <w:sz w:val="24"/>
    </w:rPr>
  </w:style>
  <w:style w:type="paragraph" w:styleId="BodyTextIndent">
    <w:name w:val="Body Text Indent"/>
    <w:basedOn w:val="Normal"/>
    <w:pPr>
      <w:spacing w:lineRule="auto" w:line="36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cancerresearchfund.org/" TargetMode="External"/><Relationship Id="rId5" Type="http://schemas.openxmlformats.org/officeDocument/2006/relationships/hyperlink" Target="http://www.lilly.com/" TargetMode="Externa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351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2001-04-10T19:01:00Z</dcterms:created>
  <dc:creator>Colleen M Parker</dc:creator>
  <dc:description/>
  <dc:language>en-CA</dc:language>
  <cp:lastModifiedBy>rm82726</cp:lastModifiedBy>
  <cp:lastPrinted>2001-05-30T11:18:00Z</cp:lastPrinted>
  <dcterms:modified xsi:type="dcterms:W3CDTF">2001-06-04T12:25:00Z</dcterms:modified>
  <cp:revision>37</cp:revision>
  <dc:subject/>
  <dc:title>  </dc:title>
</cp:coreProperties>
</file>