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North America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The purpose of this “Term Sheet” is to identify key commercial terms and conditions of a potential transaction entered into between Enron North America Corp. and [client].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>
          <w:sz w:val="22"/>
        </w:rPr>
      </w:pPr>
      <w:r>
        <w:rPr>
          <w:sz w:val="22"/>
        </w:rPr>
        <w:t xml:space="preserve">A U.S. Hot Rolled Steel financial swap transaction.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Each calendar month,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>) Business Day after the Floating Price is determinable.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North America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[To Be Determined]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The Fixed Price multiplied by the Notional Quantity per Calculation Period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[Client Name]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a Calculation Period shall be the price per Ton published under the heading “Transaction Prices”, “FERROUS METALS (truckload quantities, FOB producing mills)”, ”Latest price”,  “Hot-rolled steel sheet (Midwest, $/ton)” in the first issue 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or any successor publication, published by Purchasing Magazine or its successor (such publication, “Official Board Markets”) in the calendar month following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Floating Price multiplied by the Notional Quantity per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Date of publication of the relevant Official Board Markets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THIS DISCUSSION SHEET DOES NOT CREATE A BINDING AND ENFORCEABLE CONTRACT BETWEEN ANY PARTY NOR CONSTITUTE A COMMITMENT OR OFFER OR COMMITMENT TO ANY PARTY OR PARTIES, BUT RATHER CONTAINS INDICATIVE TERMS AND IS INTENDED FOR DISCUSSION PURPOSES ONLY.  NO PARTY IS OBLIGATED TO ENTER INTO A CONTRACT NOR PURSUE ANY NEGOTIATIONS IN RESPECT THEREOF.  ALL TERMS ARE SUBJECT TO CHANGE UNTIL AGREEMENT AS TO A SPECIFIC TRANSACTION HAS BEEN REACHED AND EXECUTION BY THE PARTIES OF WRITTEN DEFINITIVE DOCUMENTATION CONTAINING ALL APPROPRIATE PROVISIONS INCLUDING, WITHOUT LIMITATION, ACCEPTABLE CREDIT AND MARGIN PROVISIONS.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  <w:p>
    <w:pPr>
      <w:pStyle w:val="Header"/>
      <w:jc w:val="center"/>
      <w:rPr>
        <w:b/>
      </w:rPr>
    </w:pPr>
    <w:r>
      <w:rPr>
        <w:b/>
      </w:rPr>
      <w:t>CLIENT PAYS FLOATING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2000-11-07T18:02:00Z</dcterms:created>
  <dc:creator>ghermans</dc:creator>
  <dc:description/>
  <dc:language>en-CA</dc:language>
  <cp:lastModifiedBy>Andrew E. Wilson</cp:lastModifiedBy>
  <cp:lastPrinted>2000-04-20T08:55:00Z</cp:lastPrinted>
  <dcterms:modified xsi:type="dcterms:W3CDTF">2000-11-07T18:04:00Z</dcterms:modified>
  <cp:revision>3</cp:revision>
  <dc:subject/>
  <dc:title>April 19, 2000</dc:title>
</cp:coreProperties>
</file>