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00"/>
          <w:sz w:val="16"/>
        </w:rPr>
      </w:pPr>
      <w:r>
        <w:rPr>
          <w:rFonts w:cs="Arial" w:ascii="Arial" w:hAnsi="Arial"/>
          <w:color w:val="FF0000"/>
          <w:sz w:val="16"/>
        </w:rPr>
        <w:t xml:space="preserve">US Paper Swap </w:t>
        <w:tab/>
        <w:tab/>
        <w:tab/>
        <w:tab/>
        <w:tab/>
        <w:tab/>
        <w:t>USD/st/m</w:t>
      </w:r>
    </w:p>
    <w:p>
      <w:pPr>
        <w:pStyle w:val="Normal"/>
        <w:rPr>
          <w:rFonts w:ascii="Arial" w:hAnsi="Arial" w:cs="Arial"/>
          <w:color w:val="FF0000"/>
          <w:sz w:val="16"/>
        </w:rPr>
      </w:pPr>
      <w:r>
        <w:rPr>
          <w:rFonts w:cs="Arial" w:ascii="Arial" w:hAnsi="Arial"/>
          <w:color w:val="FF0000"/>
          <w:sz w:val="16"/>
        </w:rPr>
      </w:r>
    </w:p>
    <w:p>
      <w:pPr>
        <w:pStyle w:val="Normal"/>
        <w:rPr>
          <w:rFonts w:ascii="Arial" w:hAnsi="Arial" w:cs="Arial"/>
          <w:sz w:val="16"/>
        </w:rPr>
      </w:pPr>
      <w:r>
        <w:rPr>
          <w:rFonts w:cs="Arial" w:ascii="Arial" w:hAnsi="Arial"/>
          <w:color w:val="FF0000"/>
          <w:sz w:val="16"/>
        </w:rPr>
        <w:t>A US Paper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US Newsprint Fin Swap</w:t>
        <w:tab/>
        <w:tab/>
        <w:tab/>
        <w:tab/>
        <w:tab/>
        <w:tab/>
        <w:t>USD/MT/M</w:t>
      </w:r>
    </w:p>
    <w:p>
      <w:pPr>
        <w:pStyle w:val="Normal"/>
        <w:rPr>
          <w:rFonts w:ascii="Arial" w:hAnsi="Arial" w:cs="Arial"/>
          <w:sz w:val="16"/>
        </w:rPr>
      </w:pPr>
      <w:r>
        <w:rPr>
          <w:rFonts w:cs="Arial" w:ascii="Arial" w:hAnsi="Arial"/>
          <w:sz w:val="16"/>
        </w:rPr>
      </w:r>
    </w:p>
    <w:p>
      <w:pPr>
        <w:pStyle w:val="BodyText"/>
        <w:rPr/>
      </w:pPr>
      <w:r>
        <w:rPr>
          <w:sz w:val="16"/>
        </w:rPr>
        <w:t xml:space="preserve">A US </w:t>
      </w:r>
      <w:r>
        <w:rPr>
          <w:color w:val="0000FF"/>
          <w:sz w:val="16"/>
        </w:rPr>
        <w:t>Newsprint</w:t>
      </w:r>
      <w:r>
        <w:rPr>
          <w:sz w:val="16"/>
        </w:rPr>
        <w:t xml:space="preserve">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t>US Packaging Fin Swap</w:t>
        <w:tab/>
        <w:tab/>
        <w:tab/>
        <w:tab/>
        <w:tab/>
        <w:tab/>
        <w:t>USD/ST/M</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pPr>
      <w:r>
        <w:rPr>
          <w:rFonts w:cs="Arial" w:ascii="Arial" w:hAnsi="Arial"/>
          <w:sz w:val="16"/>
          <w:lang w:eastAsia="en-US"/>
        </w:rPr>
        <w:t xml:space="preserve">A US </w:t>
      </w:r>
      <w:r>
        <w:rPr>
          <w:rFonts w:cs="Arial" w:ascii="Arial" w:hAnsi="Arial"/>
          <w:color w:val="0000FF"/>
          <w:sz w:val="16"/>
          <w:lang w:eastAsia="en-US"/>
        </w:rPr>
        <w:t>Packaging</w:t>
      </w:r>
      <w:r>
        <w:rPr>
          <w:rFonts w:cs="Arial" w:ascii="Arial" w:hAnsi="Arial"/>
          <w:sz w:val="16"/>
          <w:lang w:eastAsia="en-US"/>
        </w:rPr>
        <w:t xml:space="preserve">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US Recycled Fin Swap</w:t>
        <w:tab/>
        <w:tab/>
        <w:tab/>
        <w:tab/>
        <w:tab/>
        <w:tab/>
        <w:t>USD/ST/M</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pPr>
      <w:r>
        <w:rPr>
          <w:rFonts w:cs="Arial" w:ascii="Arial" w:hAnsi="Arial"/>
          <w:sz w:val="16"/>
          <w:lang w:eastAsia="en-US"/>
        </w:rPr>
        <w:t xml:space="preserve">A US </w:t>
      </w:r>
      <w:r>
        <w:rPr>
          <w:rFonts w:cs="Arial" w:ascii="Arial" w:hAnsi="Arial"/>
          <w:color w:val="0000FF"/>
          <w:sz w:val="16"/>
          <w:lang w:eastAsia="en-US"/>
        </w:rPr>
        <w:t>Recycled</w:t>
      </w:r>
      <w:r>
        <w:rPr>
          <w:rFonts w:cs="Arial" w:ascii="Arial" w:hAnsi="Arial"/>
          <w:sz w:val="16"/>
          <w:lang w:eastAsia="en-US"/>
        </w:rPr>
        <w:t xml:space="preserve">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t>US Lumber Fin Swap</w:t>
        <w:tab/>
        <w:tab/>
        <w:tab/>
        <w:tab/>
        <w:tab/>
        <w:tab/>
        <w:t>USD/MBF</w:t>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t>A US Lumber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t>US OSB Fin Swap</w:t>
        <w:tab/>
        <w:tab/>
        <w:tab/>
        <w:tab/>
        <w:tab/>
        <w:tab/>
        <w:tab/>
        <w:t>USD/MSF</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pPr>
      <w:r>
        <w:rPr>
          <w:rFonts w:cs="Arial" w:ascii="Arial" w:hAnsi="Arial"/>
          <w:sz w:val="16"/>
          <w:lang w:eastAsia="en-US"/>
        </w:rPr>
        <w:t xml:space="preserve">A US </w:t>
      </w:r>
      <w:r>
        <w:rPr>
          <w:rFonts w:cs="Arial" w:ascii="Arial" w:hAnsi="Arial"/>
          <w:color w:val="0000FF"/>
          <w:sz w:val="16"/>
          <w:lang w:eastAsia="en-US"/>
        </w:rPr>
        <w:t>OSB</w:t>
      </w:r>
      <w:r>
        <w:rPr>
          <w:rFonts w:cs="Arial" w:ascii="Arial" w:hAnsi="Arial"/>
          <w:sz w:val="16"/>
          <w:lang w:eastAsia="en-US"/>
        </w:rPr>
        <w:t xml:space="preserve">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widowControl w:val="false"/>
        <w:tabs>
          <w:tab w:val="clear" w:pos="720"/>
          <w:tab w:val="left" w:pos="90" w:leader="none"/>
        </w:tabs>
        <w:spacing w:before="64" w:after="0"/>
        <w:rPr>
          <w:rFonts w:ascii="Arial" w:hAnsi="Arial" w:cs="Arial"/>
          <w:sz w:val="16"/>
          <w:lang w:eastAsia="en-US"/>
        </w:rPr>
      </w:pPr>
      <w:r>
        <w:rPr>
          <w:rFonts w:cs="Arial" w:ascii="Arial" w:hAnsi="Arial"/>
          <w:sz w:val="16"/>
          <w:lang w:eastAsia="en-US"/>
        </w:rPr>
      </w:r>
    </w:p>
    <w:p>
      <w:pPr>
        <w:pStyle w:val="Normal"/>
        <w:widowControl w:val="false"/>
        <w:tabs>
          <w:tab w:val="clear" w:pos="720"/>
          <w:tab w:val="left" w:pos="90" w:leader="none"/>
        </w:tabs>
        <w:spacing w:before="64" w:after="0"/>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spacing w:before="64" w:after="0"/>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2001-03-21T17:29:00Z</dcterms:created>
  <dc:creator>kmeredi</dc:creator>
  <dc:description/>
  <dc:language>en-CA</dc:language>
  <cp:lastModifiedBy>kmeredi</cp:lastModifiedBy>
  <dcterms:modified xsi:type="dcterms:W3CDTF">2001-03-22T13:41:00Z</dcterms:modified>
  <cp:revision>3</cp:revision>
  <dc:subject/>
  <dc:title>US Paper Swap </dc:title>
</cp:coreProperties>
</file>