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t>ENRON NORTH AMERICA CORP.</w:t>
      </w:r>
    </w:p>
    <w:p>
      <w:pPr>
        <w:pStyle w:val="Justified"/>
        <w:jc w:val="center"/>
        <w:rPr>
          <w:b/>
          <w:sz w:val="18"/>
        </w:rPr>
      </w:pPr>
      <w:r>
        <w:rPr>
          <w:b/>
          <w:sz w:val="18"/>
        </w:rPr>
        <w:t xml:space="preserve">ON-LINE GENERAL TERMS AND CONDITIONS FOR PULP, PAPER AND WOOD PRODUCTS TRANSACTIONS </w:t>
      </w:r>
    </w:p>
    <w:p>
      <w:pPr>
        <w:pStyle w:val="Heading2"/>
        <w:ind w:hanging="0" w:start="0"/>
        <w:jc w:val="both"/>
        <w:rPr>
          <w:b/>
          <w:sz w:val="18"/>
        </w:rPr>
      </w:pPr>
      <w:r>
        <w:rPr>
          <w:b/>
          <w:sz w:val="18"/>
        </w:rPr>
      </w:r>
    </w:p>
    <w:p>
      <w:pPr>
        <w:sectPr>
          <w:headerReference w:type="default" r:id="rId2"/>
          <w:headerReference w:type="first" r:id="rId3"/>
          <w:footerReference w:type="default" r:id="rId4"/>
          <w:footerReference w:type="first" r:id="rId5"/>
          <w:type w:val="nextPage"/>
          <w:pgSz w:w="12240" w:h="15840"/>
          <w:pgMar w:left="1008" w:right="1008" w:gutter="0" w:header="72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jc w:val="both"/>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Pulp, Paper and Wood Products ("Commodity") or Options on the Commodity between Enron North America Corp. ("ENA") and another party (the "Counterparty").  ENA and Counterparty shall be referred to as a "Party" herein.  The special terms and conditions of a particular Transaction for the purchase, sale or exchange of the Commodity or Options on the Commodity including but not limited to, payment terms, price and delivery terms shall be as set forth on this website ("Special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Heading2"/>
        <w:ind w:hanging="0" w:start="0"/>
        <w:jc w:val="both"/>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the Commodity or Options on the Commodity by clicking on the designated boxes on this website.  This website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website.  </w:t>
      </w:r>
    </w:p>
    <w:p>
      <w:pPr>
        <w:pStyle w:val="Heading2"/>
        <w:ind w:firstLine="720" w:start="0" w:end="0"/>
        <w:jc w:val="both"/>
        <w:rPr/>
      </w:pPr>
      <w:r>
        <w:rPr>
          <w:sz w:val="18"/>
        </w:rPr>
        <w:t xml:space="preserve">The Parties agree that ENA may confirm a Transaction by giving (via facsimile or other means including but not limited to retrievable electronic communications)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Heading2"/>
        <w:ind w:firstLine="720" w:start="0" w:end="0"/>
        <w:jc w:val="both"/>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jc w:val="both"/>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jc w:val="both"/>
        <w:rPr>
          <w:b/>
          <w:sz w:val="18"/>
        </w:rPr>
      </w:pPr>
      <w:r>
        <w:rPr>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jc w:val="both"/>
        <w:rPr>
          <w:sz w:val="18"/>
        </w:rPr>
      </w:pPr>
      <w:r>
        <w:rPr>
          <w:sz w:val="18"/>
        </w:rPr>
        <w:t>SECTION 2.  REPRESENTATIONS AND WARRANTIES</w:t>
      </w:r>
    </w:p>
    <w:p>
      <w:pPr>
        <w:pStyle w:val="Justified"/>
        <w:jc w:val="both"/>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jc w:val="both"/>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w:t>
      </w:r>
    </w:p>
    <w:p>
      <w:pPr>
        <w:pStyle w:val="Heading2"/>
        <w:ind w:hanging="0" w:start="0"/>
        <w:jc w:val="both"/>
        <w:rPr/>
      </w:pPr>
      <w:r>
        <w:rPr>
          <w:sz w:val="18"/>
        </w:rPr>
        <w:t>3.2</w:t>
        <w:tab/>
      </w:r>
      <w:r>
        <w:rPr>
          <w:b/>
          <w:sz w:val="18"/>
          <w:u w:val="single"/>
        </w:rPr>
        <w:t>Delivery</w:t>
      </w:r>
      <w:r>
        <w:rPr>
          <w:sz w:val="18"/>
        </w:rPr>
        <w:t>.</w:t>
      </w:r>
    </w:p>
    <w:p>
      <w:pPr>
        <w:pStyle w:val="Heading2"/>
        <w:ind w:firstLine="720" w:start="0" w:end="0"/>
        <w:jc w:val="both"/>
        <w:rPr>
          <w:sz w:val="18"/>
        </w:rPr>
      </w:pPr>
      <w:r>
        <w:rPr>
          <w:sz w:val="18"/>
        </w:rPr>
        <w:t xml:space="preserve">(a) </w:t>
        <w:tab/>
        <w:t xml:space="preserve">The Commodity shall be delivered by the delivery method (FOB, C&amp;F, CIF, Delivered) or as otherwise specified in the Special Terms and Conditions for the Transaction.  </w:t>
      </w:r>
    </w:p>
    <w:p>
      <w:pPr>
        <w:pStyle w:val="Heading2"/>
        <w:ind w:firstLine="720" w:start="0" w:end="0"/>
        <w:jc w:val="both"/>
        <w:rPr>
          <w:sz w:val="18"/>
        </w:rPr>
      </w:pPr>
      <w:r>
        <w:rPr>
          <w:sz w:val="18"/>
        </w:rPr>
        <w:t xml:space="preserve">(b) </w:t>
        <w:tab/>
        <w:t>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w:t>
      </w:r>
    </w:p>
    <w:p>
      <w:pPr>
        <w:pStyle w:val="Heading2"/>
        <w:ind w:hanging="0" w:start="0"/>
        <w:jc w:val="both"/>
        <w:rPr>
          <w:caps/>
          <w:sz w:val="18"/>
        </w:rPr>
      </w:pPr>
      <w:r>
        <w:rPr>
          <w:sz w:val="18"/>
        </w:rPr>
        <w:t>3.3</w:t>
        <w:tab/>
      </w:r>
      <w:r>
        <w:rPr>
          <w:b/>
          <w:sz w:val="18"/>
          <w:u w:val="single"/>
        </w:rPr>
        <w:t>Payment</w:t>
      </w:r>
      <w:r>
        <w:rPr>
          <w:sz w:val="18"/>
        </w:rPr>
        <w:t xml:space="preserve">. Unless otherwise specified in the Confirmation or agreed to by the Parties, Buyer shall pay the Purchase Price for the Commodity within </w:t>
      </w:r>
      <w:r>
        <w:rPr>
          <w:color w:val="0000FF"/>
          <w:sz w:val="18"/>
        </w:rPr>
        <w:t>thirty (30)</w:t>
      </w:r>
      <w:r>
        <w:rPr>
          <w:sz w:val="18"/>
        </w:rPr>
        <w:t xml:space="preserve"> Business Days of Delivery of the Commodity.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jc w:val="both"/>
        <w:rPr/>
      </w:pPr>
      <w:r>
        <w:rPr>
          <w:sz w:val="18"/>
        </w:rPr>
        <w:t>3.4</w:t>
        <w:tab/>
      </w:r>
      <w:r>
        <w:rPr>
          <w:b/>
          <w:sz w:val="18"/>
          <w:u w:val="single"/>
        </w:rPr>
        <w:t>Taxes</w:t>
      </w:r>
      <w:r>
        <w:rPr>
          <w:sz w:val="18"/>
        </w:rPr>
        <w:t>.  Each Party shall be responsible for any taxes or other fees associated with its respective delivery and receipt of the Commodity.</w:t>
      </w:r>
    </w:p>
    <w:p>
      <w:pPr>
        <w:pStyle w:val="Heading2"/>
        <w:ind w:hanging="0" w:start="0"/>
        <w:jc w:val="both"/>
        <w:rPr/>
      </w:pPr>
      <w:r>
        <w:rPr>
          <w:sz w:val="18"/>
        </w:rPr>
        <w:t>3.5</w:t>
        <w:tab/>
      </w:r>
      <w:r>
        <w:rPr>
          <w:b/>
          <w:sz w:val="18"/>
          <w:u w:val="single"/>
        </w:rPr>
        <w:t>Title/Risk of Loss</w:t>
      </w:r>
      <w:r>
        <w:rPr>
          <w:sz w:val="18"/>
        </w:rPr>
        <w:t>.  Title and risk of loss shall pass to Buyer upon delivery at the Delivery Point.</w:t>
      </w:r>
    </w:p>
    <w:p>
      <w:pPr>
        <w:pStyle w:val="Heading1"/>
        <w:spacing w:before="0" w:after="120"/>
        <w:ind w:hanging="0" w:start="0"/>
        <w:rPr>
          <w:sz w:val="18"/>
        </w:rPr>
      </w:pPr>
      <w:r>
        <w:rPr>
          <w:sz w:val="18"/>
        </w:rPr>
        <w:t>SECTION 4.  DEFAULTS AND REMEDIES</w:t>
      </w:r>
    </w:p>
    <w:p>
      <w:pPr>
        <w:pStyle w:val="Heading2"/>
        <w:ind w:hanging="0" w:start="0"/>
        <w:jc w:val="both"/>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jc w:val="both"/>
        <w:rPr/>
      </w:pPr>
      <w:r>
        <w:rPr>
          <w:sz w:val="18"/>
        </w:rPr>
        <w:t>4.2</w:t>
        <w:tab/>
      </w:r>
      <w:r>
        <w:rPr>
          <w:b/>
          <w:sz w:val="18"/>
          <w:u w:val="single"/>
        </w:rPr>
        <w:t>Remedies</w:t>
      </w:r>
      <w:r>
        <w:rPr>
          <w:sz w:val="18"/>
        </w:rPr>
        <w:t>.</w:t>
      </w:r>
    </w:p>
    <w:p>
      <w:pPr>
        <w:pStyle w:val="Heading6"/>
        <w:ind w:firstLine="720" w:start="0" w:end="0"/>
        <w:jc w:val="both"/>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jc w:val="both"/>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jc w:val="both"/>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jc w:val="both"/>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w:t>
      </w:r>
    </w:p>
    <w:p>
      <w:pPr>
        <w:pStyle w:val="Heading6"/>
        <w:tabs>
          <w:tab w:val="clear" w:pos="720"/>
          <w:tab w:val="left" w:pos="0" w:leader="none"/>
        </w:tabs>
        <w:jc w:val="both"/>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jc w:val="both"/>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jc w:val="both"/>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jc w:val="both"/>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jc w:val="both"/>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jc w:val="both"/>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w:t>
      </w:r>
    </w:p>
    <w:p>
      <w:pPr>
        <w:pStyle w:val="Heading2"/>
        <w:ind w:hanging="0" w:start="0"/>
        <w:jc w:val="center"/>
        <w:rPr>
          <w:b/>
          <w:sz w:val="18"/>
        </w:rPr>
      </w:pPr>
      <w:r>
        <w:rPr>
          <w:b/>
          <w:sz w:val="18"/>
        </w:rPr>
        <w:t>SECTION 6.  FORCE MAJEURE</w:t>
      </w:r>
    </w:p>
    <w:p>
      <w:pPr>
        <w:pStyle w:val="Heading2"/>
        <w:ind w:hanging="0" w:start="0"/>
        <w:jc w:val="both"/>
        <w:rPr>
          <w:sz w:val="18"/>
        </w:rPr>
      </w:pPr>
      <w:r>
        <w:rPr>
          <w:sz w:val="18"/>
        </w:rPr>
        <w:t>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w:t>
      </w:r>
    </w:p>
    <w:p>
      <w:pPr>
        <w:pStyle w:val="Heading1"/>
        <w:spacing w:before="0" w:after="120"/>
        <w:ind w:hanging="0" w:start="0"/>
        <w:rPr>
          <w:sz w:val="18"/>
        </w:rPr>
      </w:pPr>
      <w:r>
        <w:rPr>
          <w:sz w:val="18"/>
        </w:rPr>
        <w:t>SECTION 7.  MISCELLANEOUS</w:t>
      </w:r>
    </w:p>
    <w:p>
      <w:pPr>
        <w:pStyle w:val="Normal"/>
        <w:spacing w:before="0" w:after="120"/>
        <w:jc w:val="both"/>
        <w:rPr/>
      </w:pPr>
      <w:r>
        <w:rPr>
          <w:sz w:val="18"/>
        </w:rPr>
        <w:t>7.1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jc w:val="both"/>
        <w:rPr/>
      </w:pPr>
      <w:r>
        <w:rPr>
          <w:sz w:val="18"/>
        </w:rPr>
        <w:t xml:space="preserve"> </w:t>
      </w:r>
      <w:r>
        <w:rPr>
          <w:sz w:val="18"/>
        </w:rPr>
        <w:t xml:space="preserve">7.2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jc w:val="both"/>
        <w:rPr/>
      </w:pPr>
      <w:r>
        <w:rPr>
          <w:sz w:val="18"/>
        </w:rPr>
        <w:t>7.3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Heading2"/>
        <w:ind w:hanging="0" w:start="0"/>
        <w:jc w:val="both"/>
        <w:rPr>
          <w:b/>
          <w:sz w:val="18"/>
        </w:rPr>
      </w:pPr>
      <w:r>
        <w:rPr>
          <w:sz w:val="18"/>
        </w:rPr>
        <w:t>7.4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jc w:val="both"/>
        <w:rPr/>
      </w:pPr>
      <w:r>
        <w:rPr>
          <w:sz w:val="18"/>
        </w:rPr>
        <w:t>7.5</w:t>
        <w:tab/>
      </w:r>
      <w:r>
        <w:rPr>
          <w:b/>
          <w:sz w:val="18"/>
          <w:u w:val="single"/>
        </w:rPr>
        <w:t>Notices</w:t>
      </w:r>
      <w:r>
        <w:rPr>
          <w:sz w:val="18"/>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jc w:val="both"/>
        <w:rPr/>
      </w:pPr>
      <w:r>
        <w:rPr>
          <w:sz w:val="18"/>
        </w:rPr>
        <w:t>7.6</w:t>
        <w:tab/>
      </w:r>
      <w:r>
        <w:rPr>
          <w:b/>
          <w:sz w:val="18"/>
          <w:u w:val="single"/>
        </w:rPr>
        <w:t>Governing Law</w:t>
      </w:r>
      <w:r>
        <w:rPr>
          <w:sz w:val="18"/>
        </w:rPr>
        <w:t>.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jc w:val="both"/>
        <w:rPr>
          <w:sz w:val="18"/>
        </w:rPr>
      </w:pPr>
      <w:r>
        <w:rPr>
          <w:sz w:val="18"/>
        </w:rPr>
        <w:t>7.7</w:t>
        <w:tab/>
      </w:r>
      <w:r>
        <w:rPr>
          <w:b/>
          <w:sz w:val="18"/>
          <w:u w:val="single"/>
        </w:rPr>
        <w:t>Submission to Jurisdiction.</w:t>
      </w:r>
    </w:p>
    <w:p>
      <w:pPr>
        <w:pStyle w:val="BodyTextIndent2"/>
        <w:jc w:val="both"/>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jc w:val="both"/>
        <w:rPr/>
      </w:pPr>
      <w:r>
        <w:rPr/>
        <w:t>(i)</w:t>
        <w:tab/>
        <w:t>consents to the non-exclusive personal jurisdiction of the courts located in the Borough of Manhattan, New York, USA;</w:t>
      </w:r>
    </w:p>
    <w:p>
      <w:pPr>
        <w:pStyle w:val="BodyTextIndent"/>
        <w:ind w:hanging="0" w:start="1440" w:end="0"/>
        <w:jc w:val="both"/>
        <w:rPr/>
      </w:pPr>
      <w:r>
        <w:rPr/>
        <w:t>(ii)</w:t>
        <w:tab/>
        <w:t>agrees that venue properly lies in the above-designated jurisdiction; and</w:t>
      </w:r>
    </w:p>
    <w:p>
      <w:pPr>
        <w:pStyle w:val="BodyTextIndent"/>
        <w:ind w:hanging="0" w:start="1440" w:end="0"/>
        <w:jc w:val="both"/>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jc w:val="both"/>
        <w:rPr/>
      </w:pPr>
      <w:r>
        <w:rPr/>
        <w:t>(b)</w:t>
        <w:tab/>
        <w:t>The Parties agree that a final judgment by any court in the above-designated jurisdiction covered by this Agreement shall be conclusive and may be enforced in other jurisdictions in any manner provided by law.</w:t>
      </w:r>
    </w:p>
    <w:p>
      <w:pPr>
        <w:pStyle w:val="BodyTextIndent"/>
        <w:ind w:firstLine="720" w:start="0" w:end="0"/>
        <w:jc w:val="both"/>
        <w:rPr/>
      </w:pPr>
      <w:r>
        <w:rPr/>
        <w:t>(c)</w:t>
        <w:tab/>
        <w:t>The Parties hereby waive any claim that a judgment obtained in the above-designated jurisdiction is invalid or unenforceable.</w:t>
      </w:r>
    </w:p>
    <w:p>
      <w:pPr>
        <w:pStyle w:val="BodyTextIndent"/>
        <w:ind w:firstLine="720" w:start="0" w:end="0"/>
        <w:jc w:val="both"/>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jc w:val="both"/>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spacing w:before="0" w:after="120"/>
        <w:jc w:val="both"/>
        <w:rPr/>
      </w:pPr>
      <w:r>
        <w:rPr>
          <w:sz w:val="18"/>
        </w:rPr>
        <w:t>7.8</w:t>
        <w:tab/>
      </w:r>
      <w:r>
        <w:rPr>
          <w:b/>
          <w:sz w:val="18"/>
          <w:u w:val="single"/>
        </w:rPr>
        <w:t>Arbitration</w:t>
      </w:r>
      <w:r>
        <w:rPr>
          <w:sz w:val="18"/>
        </w:rPr>
        <w:t>.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pulp, paper and/or wood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jc w:val="both"/>
        <w:rPr/>
      </w:pPr>
      <w:r>
        <w:rPr>
          <w:sz w:val="18"/>
        </w:rPr>
        <w:t>7.9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jc w:val="both"/>
        <w:rPr>
          <w:sz w:val="18"/>
        </w:rPr>
      </w:pPr>
      <w:r>
        <w:rPr>
          <w:sz w:val="18"/>
        </w:rPr>
        <w:t>7.10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Normal"/>
        <w:tabs>
          <w:tab w:val="clear" w:pos="720"/>
          <w:tab w:val="left" w:pos="-720" w:leader="none"/>
          <w:tab w:val="left" w:pos="450" w:leader="none"/>
          <w:tab w:val="left" w:pos="900" w:leader="none"/>
        </w:tabs>
        <w:spacing w:before="0" w:after="64"/>
        <w:jc w:val="both"/>
        <w:rPr>
          <w:b/>
          <w:sz w:val="18"/>
          <w:u w:val="single"/>
        </w:rPr>
      </w:pPr>
      <w:r>
        <w:rPr>
          <w:b/>
          <w:sz w:val="18"/>
          <w:u w:val="single"/>
        </w:rPr>
        <w:t>7.11</w:t>
        <w:tab/>
        <w:t>COMPLIANCE WITH U.S. LAWS AND REGULATIONS IN INTERNATIONAL TRANSACTIONS.</w:t>
      </w:r>
    </w:p>
    <w:p>
      <w:pPr>
        <w:pStyle w:val="Normal"/>
        <w:tabs>
          <w:tab w:val="clear" w:pos="720"/>
          <w:tab w:val="left" w:pos="-720" w:leader="none"/>
          <w:tab w:val="left" w:pos="450" w:leader="none"/>
          <w:tab w:val="left" w:pos="900" w:leader="none"/>
        </w:tabs>
        <w:spacing w:before="0" w:after="64"/>
        <w:jc w:val="both"/>
        <w:rPr/>
      </w:pPr>
      <w:r>
        <w:rPr>
          <w:b/>
          <w:sz w:val="18"/>
        </w:rPr>
        <w:t>(a)</w:t>
      </w:r>
      <w:r>
        <w:rPr>
          <w:sz w:val="18"/>
        </w:rPr>
        <w:tab/>
        <w:t>The Parties acknowledge that ENA is subject to and governed by the laws and regulations of the United States of America (the "U.S. Laws"), including the Foreign Corrupt Practices Act of 1977, as amended, and laws restricting participation in or compliance with certain foreign boycotts, directly or indirectly, as contained in the U.S. Export Administration Act of 1979, as amended, and the U.S. Internal Revenue Code, as amended.  The Parties will cooperate and otherwise conduct their business and activities hereunder in such a manner as to assure that ENA or any of its Affiliates is not placed in a position of noncompliance with the U.S. Laws, including but not limited to any reporting requirements.</w:t>
      </w:r>
    </w:p>
    <w:p>
      <w:pPr>
        <w:pStyle w:val="Normal"/>
        <w:spacing w:lineRule="atLeast" w:line="240"/>
        <w:jc w:val="both"/>
        <w:rPr/>
      </w:pPr>
      <w:r>
        <w:rPr>
          <w:b/>
          <w:color w:val="000000"/>
          <w:sz w:val="18"/>
        </w:rPr>
        <w:t xml:space="preserve">(b)    </w:t>
      </w:r>
      <w:r>
        <w:rPr>
          <w:color w:val="000000"/>
          <w:sz w:val="18"/>
        </w:rPr>
        <w:t>If ENA is Buyer</w:t>
      </w:r>
      <w:r>
        <w:rPr>
          <w:color w:val="000000"/>
          <w:sz w:val="18"/>
          <w:u w:val="single"/>
        </w:rPr>
        <w:t>,</w:t>
      </w:r>
      <w:r>
        <w:rPr>
          <w:color w:val="000000"/>
          <w:sz w:val="18"/>
        </w:rPr>
        <w:t xml:space="preserve"> Seller warrants that the product supplied under this agreement shall not be produced by, originate or be shipped from any country subject to U.S</w:t>
      </w:r>
      <w:r>
        <w:rPr>
          <w:color w:val="000000"/>
          <w:sz w:val="18"/>
          <w:u w:val="single"/>
        </w:rPr>
        <w:t>.</w:t>
      </w:r>
      <w:r>
        <w:rPr>
          <w:color w:val="000000"/>
          <w:sz w:val="18"/>
        </w:rPr>
        <w:t xml:space="preserve"> trade sanctions (including but not limited to Iran, Iraq, Cuba, North Korea, Libya, Sudan, The Federal Republic of Yugoslavia and The Republic of Serbia) and/or any country with whom ENA is prohibited by U.S. law or U.S. regulations from trading.  Seller shall if requested by ENA provide ENA with a certificate of origin for the product.  The certificate of origin shall be attested by an official seal and signature of the customs authorities or the Chamber of Commerce at the loadport.  Seller shall ensure that ENA  receives the certificate of origin within 30 days of the bill of lading date.  It is a condition of this Agreement that the Seller complies with their obligations under this clause. In the event that the Seller is in breach of its obligations hereunder in whole or in part ENA shall be entitled to reject the product and claim damages.</w:t>
      </w:r>
    </w:p>
    <w:p>
      <w:pPr>
        <w:pStyle w:val="Normal"/>
        <w:tabs>
          <w:tab w:val="clear" w:pos="720"/>
          <w:tab w:val="left" w:pos="-720" w:leader="none"/>
        </w:tabs>
        <w:suppressAutoHyphens w:val="true"/>
        <w:jc w:val="both"/>
        <w:rPr>
          <w:color w:val="000000"/>
          <w:sz w:val="18"/>
        </w:rPr>
      </w:pPr>
      <w:r>
        <w:rPr>
          <w:color w:val="000000"/>
          <w:sz w:val="18"/>
        </w:rPr>
      </w:r>
    </w:p>
    <w:p>
      <w:pPr>
        <w:pStyle w:val="Normal"/>
        <w:tabs>
          <w:tab w:val="clear" w:pos="720"/>
          <w:tab w:val="left" w:pos="-720" w:leader="none"/>
        </w:tabs>
        <w:suppressAutoHyphens w:val="true"/>
        <w:jc w:val="both"/>
        <w:rPr/>
      </w:pPr>
      <w:r>
        <w:rPr>
          <w:b/>
          <w:sz w:val="18"/>
        </w:rPr>
        <w:t xml:space="preserve">(c)     </w:t>
      </w:r>
      <w:r>
        <w:rPr>
          <w:sz w:val="18"/>
        </w:rPr>
        <w:t>If ENA is Seller, 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whom U.S. persons are prohibited from trading or dealing under U.S. law.  Upon ENA’s request, Buyer agrees to notify ENA of the final destination of the product and provide ENA with relevant documentation adequate to verify such destination. It is a condition of this Agreement that Buyer complies with its obligations under this clause.  In the event that Buyer is in breach of any of the provisions of this clause in whole or part, ENA shall be entitled to terminate this agreement immediately without any liability to Buyer, and Buyer shall hold ENA harmless and indemnify ENA for any damages, losses, costs, fines or penalties incurred by ENA resulting from Buyer’s breach.</w:t>
      </w:r>
    </w:p>
    <w:p>
      <w:pPr>
        <w:pStyle w:val="Normal"/>
        <w:tabs>
          <w:tab w:val="clear" w:pos="720"/>
          <w:tab w:val="left" w:pos="-720" w:leader="none"/>
        </w:tabs>
        <w:suppressAutoHyphens w:val="true"/>
        <w:jc w:val="both"/>
        <w:rPr>
          <w:sz w:val="18"/>
        </w:rPr>
      </w:pPr>
      <w:r>
        <w:rPr>
          <w:sz w:val="18"/>
        </w:rPr>
      </w:r>
    </w:p>
    <w:p>
      <w:pPr>
        <w:pStyle w:val="Heading2"/>
        <w:ind w:hanging="0" w:start="0"/>
        <w:jc w:val="center"/>
        <w:rPr>
          <w:b/>
          <w:sz w:val="18"/>
        </w:rPr>
      </w:pPr>
      <w:r>
        <w:rPr>
          <w:b/>
          <w:sz w:val="18"/>
        </w:rPr>
        <w:t>SECTION 8.  COLLATERAL ARRANGEMENTS</w:t>
      </w:r>
    </w:p>
    <w:p>
      <w:pPr>
        <w:pStyle w:val="Heading2"/>
        <w:ind w:hanging="0" w:start="0"/>
        <w:jc w:val="both"/>
        <w:rPr/>
      </w:pPr>
      <w:r>
        <w:rPr>
          <w:sz w:val="18"/>
        </w:rPr>
        <w:t xml:space="preserve">Counterparty shall (at ENA's request) either: (i) within one (1) Business Day of such request by ENA, provide to ENA a letter of credit in respect of Counterparty's obligations under any Transaction, in such form and for such amount and from such issuer, as is acceptable to ENA in its absolute discretion; or (ii) within such period as is specified by ENA, provide for the benefit of ENA a parent company guarantee in such form and for such amount as is acceptable to ENA in its absolute discretion; or </w:t>
      </w:r>
      <w:r>
        <w:rPr>
          <w:rFonts w:cs="Arial" w:ascii="Arial" w:hAnsi="Arial"/>
          <w:sz w:val="16"/>
        </w:rPr>
        <w:t>(a) prepay an amount, as determined in ENA's sole discretion, up to the estimated maximum value of the Commodity to be delivered, plus freight, taxes and other charges, if applicable;</w:t>
      </w:r>
      <w:r>
        <w:rPr>
          <w:sz w:val="18"/>
        </w:rPr>
        <w:t>.  Failure to provide such letter of credit or parent company guaranty shall constitute a default hereunder, giving rise to the immediate right of termination by ENA under these Terms.</w:t>
      </w:r>
    </w:p>
    <w:p>
      <w:pPr>
        <w:pStyle w:val="Expanded"/>
        <w:spacing w:before="0" w:after="0"/>
        <w:rPr>
          <w:caps w:val="false"/>
          <w:smallCaps w:val="false"/>
          <w:spacing w:val="0"/>
          <w:sz w:val="18"/>
        </w:rPr>
      </w:pPr>
      <w:r>
        <w:rPr>
          <w:caps w:val="false"/>
          <w:smallCaps w:val="false"/>
          <w:spacing w:val="0"/>
          <w:sz w:val="18"/>
        </w:rPr>
        <w:t>SECTION 9.  DEFINITIONS</w:t>
      </w:r>
    </w:p>
    <w:p>
      <w:pPr>
        <w:pStyle w:val="Normal"/>
        <w:jc w:val="both"/>
        <w:rPr>
          <w:caps/>
          <w:spacing w:val="0"/>
          <w:sz w:val="18"/>
        </w:rPr>
      </w:pPr>
      <w:r>
        <w:rPr>
          <w:caps/>
          <w:spacing w:val="0"/>
          <w:sz w:val="18"/>
        </w:rPr>
      </w:r>
    </w:p>
    <w:p>
      <w:pPr>
        <w:pStyle w:val="Justified"/>
        <w:jc w:val="both"/>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jc w:val="both"/>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jc w:val="both"/>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jc w:val="both"/>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jc w:val="both"/>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w:t>
      </w:r>
    </w:p>
    <w:p>
      <w:pPr>
        <w:pStyle w:val="Justified"/>
        <w:jc w:val="both"/>
        <w:rPr/>
      </w:pPr>
      <w:r>
        <w:rPr>
          <w:b/>
          <w:i/>
          <w:sz w:val="18"/>
        </w:rPr>
        <w:t>"</w:t>
      </w:r>
      <w:r>
        <w:rPr>
          <w:b/>
          <w:i/>
          <w:sz w:val="18"/>
          <w:u w:val="single"/>
        </w:rPr>
        <w:t>Buyer</w:t>
      </w:r>
      <w:r>
        <w:rPr>
          <w:b/>
          <w:i/>
          <w:sz w:val="18"/>
        </w:rPr>
        <w:t>"</w:t>
      </w:r>
      <w:r>
        <w:rPr>
          <w:sz w:val="18"/>
        </w:rPr>
        <w:t xml:space="preserve"> means the Party to a Transaction who (i) is obligated to purchase and receive the Commodity, or with respect to an exchange of the Commodity, to receive the Commodity.</w:t>
      </w:r>
    </w:p>
    <w:p>
      <w:pPr>
        <w:pStyle w:val="Justified"/>
        <w:jc w:val="both"/>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of the Commodity from the seller of the Call Option pursuant to the terms of a Transaction.</w:t>
      </w:r>
    </w:p>
    <w:p>
      <w:pPr>
        <w:pStyle w:val="Heading2"/>
        <w:ind w:hanging="0" w:start="0"/>
        <w:rPr/>
      </w:pPr>
      <w:r>
        <w:rPr>
          <w:b/>
          <w:i/>
          <w:sz w:val="18"/>
        </w:rPr>
        <w:t>"</w:t>
      </w:r>
      <w:r>
        <w:rPr>
          <w:b/>
          <w:i/>
          <w:sz w:val="18"/>
          <w:u w:val="single"/>
        </w:rPr>
        <w:t>Commodity</w:t>
      </w:r>
      <w:r>
        <w:rPr>
          <w:b/>
          <w:i/>
          <w:sz w:val="18"/>
        </w:rPr>
        <w:t>"</w:t>
      </w:r>
      <w:r>
        <w:rPr>
          <w:sz w:val="18"/>
        </w:rPr>
        <w:t xml:space="preserve"> means pulp, paper and wood products.</w:t>
      </w:r>
    </w:p>
    <w:p>
      <w:pPr>
        <w:pStyle w:val="Justified"/>
        <w:jc w:val="both"/>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jc w:val="both"/>
        <w:rPr/>
      </w:pPr>
      <w:r>
        <w:rPr>
          <w:b/>
          <w:i/>
          <w:sz w:val="18"/>
        </w:rPr>
        <w:t>"</w:t>
      </w:r>
      <w:r>
        <w:rPr>
          <w:b/>
          <w:i/>
          <w:sz w:val="18"/>
          <w:u w:val="single"/>
        </w:rPr>
        <w:t>Confidential Information</w:t>
      </w:r>
      <w:r>
        <w:rPr>
          <w:b/>
          <w:i/>
          <w:sz w:val="18"/>
        </w:rPr>
        <w:t>"</w:t>
      </w:r>
      <w:r>
        <w:rPr>
          <w:sz w:val="18"/>
        </w:rPr>
        <w:t xml:space="preserve"> means all written information exchanged between ENA and Counterparty with respect to the pricing of the sale of the Commodity (or Options, if applicable)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jc w:val="both"/>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jc w:val="both"/>
        <w:rPr/>
      </w:pPr>
      <w:r>
        <w:rPr>
          <w:b/>
          <w:i/>
          <w:sz w:val="18"/>
        </w:rPr>
        <w:t>"</w:t>
      </w:r>
      <w:r>
        <w:rPr>
          <w:b/>
          <w:i/>
          <w:sz w:val="18"/>
          <w:u w:val="single"/>
        </w:rPr>
        <w:t>Contract Quantity</w:t>
      </w:r>
      <w:r>
        <w:rPr>
          <w:b/>
          <w:i/>
          <w:sz w:val="18"/>
        </w:rPr>
        <w:t>"</w:t>
      </w:r>
      <w:r>
        <w:rPr>
          <w:sz w:val="18"/>
        </w:rPr>
        <w:t xml:space="preserve"> means the amount of the Commodity that Seller agrees to sell to (or if applicable, exchange with) Buyer, and that Buyer agrees to purchase from (or if applicable, exchange with) Seller, pursuant to a Transaction.</w:t>
      </w:r>
    </w:p>
    <w:p>
      <w:pPr>
        <w:pStyle w:val="Heading2"/>
        <w:ind w:hanging="0" w:start="0"/>
        <w:jc w:val="both"/>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jc w:val="both"/>
        <w:rPr/>
      </w:pPr>
      <w:r>
        <w:rPr>
          <w:b/>
          <w:i/>
          <w:sz w:val="18"/>
        </w:rPr>
        <w:t>"</w:t>
      </w:r>
      <w:r>
        <w:rPr>
          <w:b/>
          <w:i/>
          <w:sz w:val="18"/>
          <w:u w:val="single"/>
        </w:rPr>
        <w:t>Delivery Point</w:t>
      </w:r>
      <w:r>
        <w:rPr>
          <w:b/>
          <w:i/>
          <w:sz w:val="18"/>
        </w:rPr>
        <w:t xml:space="preserve">" </w:t>
      </w:r>
      <w:r>
        <w:rPr>
          <w:sz w:val="18"/>
        </w:rPr>
        <w:t>means the agreed point of delivery and receipt of the Commodity pursuant to a Transaction.</w:t>
      </w:r>
    </w:p>
    <w:p>
      <w:pPr>
        <w:pStyle w:val="Justified"/>
        <w:jc w:val="both"/>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jc w:val="both"/>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jc w:val="both"/>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jc w:val="both"/>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jc w:val="both"/>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w:t>
      </w:r>
    </w:p>
    <w:p>
      <w:pPr>
        <w:pStyle w:val="Justified"/>
        <w:jc w:val="both"/>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Commodity pursuant to the terms of the Call Option or the Put Option, as the case may be.</w:t>
      </w:r>
    </w:p>
    <w:p>
      <w:pPr>
        <w:pStyle w:val="Justified"/>
        <w:jc w:val="both"/>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Justified"/>
        <w:jc w:val="both"/>
        <w:rPr/>
      </w:pPr>
      <w:r>
        <w:rPr>
          <w:b/>
          <w:i/>
          <w:sz w:val="18"/>
        </w:rPr>
        <w:t>"</w:t>
      </w:r>
      <w:r>
        <w:rPr>
          <w:b/>
          <w:i/>
          <w:sz w:val="18"/>
          <w:u w:val="single"/>
        </w:rPr>
        <w:t>Put Option</w:t>
      </w:r>
      <w:r>
        <w:rPr>
          <w:b/>
          <w:i/>
          <w:sz w:val="18"/>
        </w:rPr>
        <w:t>"</w:t>
      </w:r>
      <w:r>
        <w:rPr>
          <w:sz w:val="18"/>
        </w:rPr>
        <w:t xml:space="preserve"> means that the buyer of the Option shall have the Option to sell one or more Commodity to the seller of the Put Option pursuant to the terms of a Transaction.</w:t>
      </w:r>
    </w:p>
    <w:p>
      <w:pPr>
        <w:pStyle w:val="Justified"/>
        <w:jc w:val="both"/>
        <w:rPr/>
      </w:pPr>
      <w:r>
        <w:rPr>
          <w:b/>
          <w:i/>
          <w:sz w:val="18"/>
        </w:rPr>
        <w:t>"</w:t>
      </w:r>
      <w:r>
        <w:rPr>
          <w:b/>
          <w:i/>
          <w:sz w:val="18"/>
          <w:u w:val="single"/>
        </w:rPr>
        <w:t>Seller</w:t>
      </w:r>
      <w:r>
        <w:rPr>
          <w:b/>
          <w:i/>
          <w:sz w:val="18"/>
        </w:rPr>
        <w:t>"</w:t>
      </w:r>
      <w:r>
        <w:rPr>
          <w:sz w:val="18"/>
        </w:rPr>
        <w:t xml:space="preserve"> means the Party to a Transaction who (i) is obligated to sell and transfer Commodity, or with respect to an exchange of Commodity, to transfer Commodity.</w:t>
      </w:r>
    </w:p>
    <w:p>
      <w:pPr>
        <w:pStyle w:val="Justified"/>
        <w:jc w:val="both"/>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jc w:val="both"/>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Commodity or relating to Options on Commodity.</w:t>
      </w:r>
    </w:p>
    <w:p>
      <w:pPr>
        <w:pStyle w:val="Justified"/>
        <w:spacing w:before="0" w:after="120"/>
        <w:jc w:val="both"/>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sectPr>
      <w:type w:val="continuous"/>
      <w:pgSz w:w="12240" w:h="15840"/>
      <w:pgMar w:left="1008" w:right="1008" w:gutter="0" w:header="72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/mnt/main-storage/datasets/enron-docs/doc/Clickpaper_Physical_GTCs_3_22_01.doc</w:t>
    </w:r>
    <w:r>
      <w:rPr>
        <w:sz w:val="12"/>
      </w:rPr>
      <w:fldChar w:fldCharType="end"/>
    </w:r>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3/22/01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2001-03-22T12:29:00Z</dcterms:created>
  <dc:creator>Karen A. Cordova</dc:creator>
  <dc:description>last update 4/23/97</dc:description>
  <dc:language>en-CA</dc:language>
  <cp:lastModifiedBy>cwalker</cp:lastModifiedBy>
  <cp:lastPrinted>2000-06-27T08:26:00Z</cp:lastPrinted>
  <dcterms:modified xsi:type="dcterms:W3CDTF">2001-03-22T12:29:00Z</dcterms:modified>
  <cp:revision>2</cp:revision>
  <dc:subject>FORM</dc:subject>
  <dc:title>Master SO2 All Purchase &amp; Sale Agr      </dc:title>
</cp:coreProperties>
</file>