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png" ContentType="image/png"/>
  <Override PartName="/word/media/image6.wmf" ContentType="image/x-wmf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November 8,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November 14,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2082174251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2070"/>
        <w:gridCol w:w="2160"/>
        <w:gridCol w:w="2160"/>
      </w:tblGrid>
      <w:tr>
        <w:trPr>
          <w:trHeight w:val="280" w:hRule="atLeast"/>
        </w:trPr>
        <w:tc>
          <w:tcPr>
            <w:tcW w:w="352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MTD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382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39.1%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32.9%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17.3%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Volume (MT)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22,463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23,843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1,108,020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447,755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601,537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4,051,132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4.8%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3.8%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21.5%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Value (USD)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$3,228,708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$3,369,238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$647,925,705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$197,805,126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$211,884,663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$1,661,492,265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1.6%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1.6%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28.1%</w:t>
            </w:r>
          </w:p>
        </w:tc>
      </w:tr>
    </w:tbl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8"/>
          <w:footerReference w:type="default" r:id="rId9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41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13,368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1,126,109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22,062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4,154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1,427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831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19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182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41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4239260"/>
            <wp:effectExtent l="0" t="0" r="0" b="0"/>
            <wp:wrapTopAndBottom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23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sectPr>
      <w:headerReference w:type="default" r:id="rId11"/>
      <w:footerReference w:type="default" r:id="rId12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4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1.xml"/><Relationship Id="rId9" Type="http://schemas.openxmlformats.org/officeDocument/2006/relationships/footer" Target="footer3.xml"/><Relationship Id="rId10" Type="http://schemas.openxmlformats.org/officeDocument/2006/relationships/image" Target="media/image6.wmf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2000-11-15T17:40:00Z</dcterms:created>
  <dc:creator>mmotsin</dc:creator>
  <dc:description/>
  <dc:language>en-CA</dc:language>
  <cp:lastModifiedBy>pberzins</cp:lastModifiedBy>
  <cp:lastPrinted>2000-11-15T17:33:00Z</cp:lastPrinted>
  <dcterms:modified xsi:type="dcterms:W3CDTF">2000-11-15T21:11:00Z</dcterms:modified>
  <cp:revision>12</cp:revision>
  <dc:subject/>
  <dc:title> </dc:title>
</cp:coreProperties>
</file>