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ENRON CORP.</w:t>
      </w:r>
    </w:p>
    <w:p>
      <w:pPr>
        <w:pStyle w:val="Normal"/>
        <w:jc w:val="center"/>
        <w:rPr>
          <w:b/>
        </w:rPr>
      </w:pPr>
      <w:r>
        <w:rPr>
          <w:b/>
        </w:rPr>
        <w:t>ETHICAL WALL PROCEDURES REGARDING CONFIDENTIAL INFORMATION RELATING TO PACIFIC GAS AND ELECTRIC COMPANY</w:t>
      </w:r>
    </w:p>
    <w:p>
      <w:pPr>
        <w:pStyle w:val="Normal"/>
        <w:jc w:val="center"/>
        <w:rPr>
          <w:b/>
        </w:rPr>
      </w:pPr>
      <w:r>
        <w:rPr>
          <w:b/>
        </w:rPr>
      </w:r>
    </w:p>
    <w:p>
      <w:pPr>
        <w:pStyle w:val="Normal"/>
        <w:jc w:val="center"/>
        <w:rPr>
          <w:b/>
        </w:rPr>
      </w:pPr>
      <w:r>
        <w:rPr>
          <w:b/>
        </w:rPr>
        <w:t>[Day Month], 2001</w:t>
      </w:r>
    </w:p>
    <w:p>
      <w:pPr>
        <w:pStyle w:val="Normal"/>
        <w:jc w:val="center"/>
        <w:rPr>
          <w:b/>
        </w:rPr>
      </w:pPr>
      <w:r>
        <w:rPr>
          <w:b/>
        </w:rPr>
      </w:r>
    </w:p>
    <w:p>
      <w:pPr>
        <w:pStyle w:val="Normal"/>
        <w:jc w:val="center"/>
        <w:rPr/>
      </w:pPr>
      <w:r>
        <w:rPr/>
        <w:t>(Memorandum Supplementing Handbook dated October 1, 2000 and titled “Policies and Procedures Regarding Confidential Information and Securities Trading”)</w:t>
      </w:r>
    </w:p>
    <w:p>
      <w:pPr>
        <w:pStyle w:val="Normal"/>
        <w:jc w:val="center"/>
        <w:rPr/>
      </w:pPr>
      <w:r>
        <w:rPr/>
      </w:r>
    </w:p>
    <w:p>
      <w:pPr>
        <w:pStyle w:val="Normal"/>
        <w:rPr>
          <w:u w:val="single"/>
        </w:rPr>
      </w:pPr>
      <w:r>
        <w:rPr>
          <w:u w:val="single"/>
        </w:rPr>
        <w:t>INTRODUCTION</w:t>
      </w:r>
    </w:p>
    <w:p>
      <w:pPr>
        <w:pStyle w:val="Normal"/>
        <w:rPr>
          <w:u w:val="single"/>
        </w:rPr>
      </w:pPr>
      <w:r>
        <w:rPr>
          <w:u w:val="single"/>
        </w:rPr>
      </w:r>
    </w:p>
    <w:p>
      <w:pPr>
        <w:pStyle w:val="Normal"/>
        <w:rPr/>
      </w:pPr>
      <w:r>
        <w:rPr/>
        <w:tab/>
        <w:t>This Memorandum sets forth policies and procedures of Enron Corp. with respect to procedures regarding confidential information relating to Pacific Gas and Electric Company (“PG&amp;E”) (the “Ethical Wall Procedures”).  These Ethical Wall Procedures are required by an order (the “Court Order”) of the United States Bankruptcy Court, Northern District of California, San Francisco Division of [Day Month, Year] (the “Court”) relating to the bankruptcy proceedings of PG&amp;E, in which Enron Corp. is a creditor.  These policies and procedures are intended to:</w:t>
      </w:r>
    </w:p>
    <w:p>
      <w:pPr>
        <w:pStyle w:val="Normal"/>
        <w:rPr/>
      </w:pPr>
      <w:r>
        <w:rPr/>
      </w:r>
    </w:p>
    <w:p>
      <w:pPr>
        <w:pStyle w:val="Style11"/>
        <w:numPr>
          <w:ilvl w:val="0"/>
          <w:numId w:val="12"/>
        </w:numPr>
        <w:tabs>
          <w:tab w:val="clear" w:pos="720"/>
          <w:tab w:val="left" w:pos="1080" w:leader="none"/>
        </w:tabs>
        <w:ind w:hanging="288" w:start="1008" w:end="0"/>
        <w:rPr/>
      </w:pPr>
      <w:r>
        <w:rPr/>
        <w:t>allow Enron Corp. to publish research and to execute transactions in Affected Securities and/or Affected Commodities (as defined below) of PG&amp;E;</w:t>
      </w:r>
    </w:p>
    <w:p>
      <w:pPr>
        <w:pStyle w:val="Style11"/>
        <w:numPr>
          <w:ilvl w:val="0"/>
          <w:numId w:val="0"/>
        </w:numPr>
        <w:ind w:hanging="288" w:start="360" w:end="0"/>
        <w:rPr/>
      </w:pPr>
      <w:r>
        <w:rPr/>
      </w:r>
    </w:p>
    <w:p>
      <w:pPr>
        <w:pStyle w:val="Style11"/>
        <w:numPr>
          <w:ilvl w:val="0"/>
          <w:numId w:val="12"/>
        </w:numPr>
        <w:tabs>
          <w:tab w:val="clear" w:pos="720"/>
          <w:tab w:val="left" w:pos="1080" w:leader="none"/>
        </w:tabs>
        <w:ind w:hanging="288" w:start="1008" w:end="0"/>
        <w:rPr/>
      </w:pPr>
      <w:r>
        <w:rPr/>
        <w:t>prevent the misuse of  information obtained by the representative(s) of Enron Corp. who are designated to serve on the Official Committee of Unsecured Creditors of PG&amp;E (the “Committee Personnel”);</w:t>
      </w:r>
    </w:p>
    <w:p>
      <w:pPr>
        <w:pStyle w:val="Normal"/>
        <w:rPr/>
      </w:pPr>
      <w:r>
        <w:rPr/>
      </w:r>
    </w:p>
    <w:p>
      <w:pPr>
        <w:pStyle w:val="Style11"/>
        <w:numPr>
          <w:ilvl w:val="0"/>
          <w:numId w:val="12"/>
        </w:numPr>
        <w:tabs>
          <w:tab w:val="clear" w:pos="720"/>
          <w:tab w:val="left" w:pos="1080" w:leader="none"/>
        </w:tabs>
        <w:ind w:hanging="288" w:start="1008" w:end="0"/>
        <w:rPr/>
      </w:pPr>
      <w:r>
        <w:rPr/>
        <w:t>except as specifically provided, prevent Committee Personnel from receiving information regarding trading and research activity by Enron Corp. relating to PG&amp;E; and</w:t>
      </w:r>
    </w:p>
    <w:p>
      <w:pPr>
        <w:pStyle w:val="Normal"/>
        <w:rPr/>
      </w:pPr>
      <w:r>
        <w:rPr/>
      </w:r>
    </w:p>
    <w:p>
      <w:pPr>
        <w:pStyle w:val="Style11"/>
        <w:numPr>
          <w:ilvl w:val="0"/>
          <w:numId w:val="12"/>
        </w:numPr>
        <w:tabs>
          <w:tab w:val="clear" w:pos="720"/>
          <w:tab w:val="left" w:pos="1080" w:leader="none"/>
        </w:tabs>
        <w:ind w:hanging="288" w:start="1008" w:end="0"/>
        <w:rPr/>
      </w:pPr>
      <w:r>
        <w:rPr/>
        <w:t>preclude legal liability for our institution and employees.</w:t>
      </w:r>
    </w:p>
    <w:p>
      <w:pPr>
        <w:pStyle w:val="Normal"/>
        <w:rPr/>
      </w:pPr>
      <w:r>
        <w:rPr/>
        <w:tab/>
      </w:r>
    </w:p>
    <w:p>
      <w:pPr>
        <w:pStyle w:val="Normal"/>
        <w:rPr/>
      </w:pPr>
      <w:r>
        <w:rPr/>
        <w:tab/>
        <w:t xml:space="preserve">The policies and procedures outlined in this Memorandum supplement those set forth in our Handbook dated October 1, 2000 and titled “Policies and Procedures Regarding Confidential Information and Securities Trading” (the “Handbook”).   </w:t>
      </w:r>
      <w:r>
        <w:rPr>
          <w:i/>
        </w:rPr>
        <w:t xml:space="preserve">All Committee Personnel and Trading and Research Employees (as defined below) are expected to be familiar with, and follow, the policies and procedures in the Handbook and in this Memorandum.  </w:t>
      </w:r>
      <w:r>
        <w:rPr/>
        <w:t>Attached to this Memorandum is a Certificate of Notification to be signed by each applicable employee as a statement that he or she has been notified in writing of the existence of the Court Order and of their responsibility to comply with the Ethical Wall Procedures.</w:t>
      </w:r>
    </w:p>
    <w:p>
      <w:pPr>
        <w:pStyle w:val="Normal"/>
        <w:rPr>
          <w:i/>
          <w:i/>
        </w:rPr>
      </w:pPr>
      <w:r>
        <w:rPr>
          <w:i/>
        </w:rPr>
      </w:r>
    </w:p>
    <w:p>
      <w:pPr>
        <w:pStyle w:val="Normal"/>
        <w:rPr>
          <w:b/>
          <w:u w:val="single"/>
        </w:rPr>
      </w:pPr>
      <w:r>
        <w:rPr>
          <w:b/>
          <w:u w:val="single"/>
        </w:rPr>
        <w:t>THE ETHICAL WALL PROCEDURS</w:t>
      </w:r>
    </w:p>
    <w:p>
      <w:pPr>
        <w:pStyle w:val="Normal"/>
        <w:rPr>
          <w:b/>
          <w:u w:val="single"/>
        </w:rPr>
      </w:pPr>
      <w:r>
        <w:rPr>
          <w:b/>
          <w:u w:val="single"/>
        </w:rPr>
      </w:r>
    </w:p>
    <w:p>
      <w:pPr>
        <w:pStyle w:val="Normal"/>
        <w:rPr/>
      </w:pPr>
      <w:r>
        <w:rPr>
          <w:b/>
        </w:rPr>
        <w:tab/>
      </w:r>
      <w:r>
        <w:rPr>
          <w:i/>
          <w:u w:val="single"/>
        </w:rPr>
        <w:t>Need for Ethical Wall Procedures.</w:t>
      </w:r>
    </w:p>
    <w:p>
      <w:pPr>
        <w:pStyle w:val="Normal"/>
        <w:rPr>
          <w:i/>
          <w:i/>
          <w:u w:val="single"/>
        </w:rPr>
      </w:pPr>
      <w:r>
        <w:rPr>
          <w:i/>
          <w:u w:val="single"/>
        </w:rPr>
      </w:r>
    </w:p>
    <w:p>
      <w:pPr>
        <w:pStyle w:val="Normal"/>
        <w:rPr/>
      </w:pPr>
      <w:r>
        <w:rPr/>
        <w:tab/>
        <w:t>PG&amp;E filed a petition for bankruptcy on April 6, 2001 in the United States Bankruptcy Court, Northern District of California, San Francisco Division.  Enron Corp. is a creditor of PG&amp;E and has been appointed by the United States Trustee to be one of the eleven (11) members of the Official Committee of Unsecured Creditors (the “Committee”).  Enron Corp. has designated an employee to serve as its representative on the Committee (“Committee Personnel”) and may from time to time designate other or additional representatives.  As members of the Committee, Committee Personnel may receive confidential information regarding PG&amp;E, which is subject to the legal prohibitions on insider trading and “tipping” of material, nonpublic information.  In addition,  transmission of confidential information regarding PG&amp;E to equity traders and commodity traders may cause Committee Personnel to violate their fiduciary duties as Committee members and subject Enron Corp. to adverse treatment in the bankruptcy proceedings.  To minimize these risks, the Court has entered the Court Order to allow such trading and research to continue, provided that Enron Corp. establishes and maintains Ethical Wall Procedures as described in this Memorandum.</w:t>
      </w:r>
    </w:p>
    <w:p>
      <w:pPr>
        <w:pStyle w:val="Normal"/>
        <w:rPr>
          <w:i/>
          <w:i/>
          <w:u w:val="single"/>
        </w:rPr>
      </w:pPr>
      <w:r>
        <w:rPr>
          <w:i/>
          <w:u w:val="single"/>
        </w:rPr>
      </w:r>
    </w:p>
    <w:p>
      <w:pPr>
        <w:pStyle w:val="Normal"/>
        <w:rPr/>
      </w:pPr>
      <w:r>
        <w:rPr>
          <w:i/>
        </w:rPr>
        <w:tab/>
      </w:r>
      <w:r>
        <w:rPr>
          <w:i/>
          <w:u w:val="single"/>
        </w:rPr>
        <w:t>Maintaining the Ethical Wall Procedures.</w:t>
      </w:r>
    </w:p>
    <w:p>
      <w:pPr>
        <w:pStyle w:val="Normal"/>
        <w:rPr>
          <w:i/>
          <w:i/>
          <w:u w:val="single"/>
        </w:rPr>
      </w:pPr>
      <w:r>
        <w:rPr>
          <w:i/>
          <w:u w:val="single"/>
        </w:rPr>
      </w:r>
    </w:p>
    <w:p>
      <w:pPr>
        <w:pStyle w:val="Normal"/>
        <w:rPr/>
      </w:pPr>
      <w:r>
        <w:rPr>
          <w:i/>
        </w:rPr>
        <w:tab/>
      </w:r>
      <w:r>
        <w:rPr/>
        <w:t xml:space="preserve">The Ethical Wall Procedures consist of:  (i) general procedures for safeguarding Confidential Committee Information (as defined below), (ii) imposition of procedures identical to the existing Chinese Wall procedures applicable to Equity Traders with respect to communication of business information between any employee and Committee Personnel, and (iii) </w:t>
      </w:r>
      <w:r>
        <w:rPr>
          <w:i/>
        </w:rPr>
        <w:t>additional procedures</w:t>
      </w:r>
      <w:r>
        <w:rPr/>
        <w:t xml:space="preserve"> prohibiting the communication of certain information relating to PG&amp;E, between of Enron Corp.’s trading and research personnel (“Trading and Research Personnel”) and Committee Personnel.  </w:t>
      </w:r>
    </w:p>
    <w:p>
      <w:pPr>
        <w:pStyle w:val="Normal"/>
        <w:rPr>
          <w:u w:val="single"/>
        </w:rPr>
      </w:pPr>
      <w:r>
        <w:rPr>
          <w:u w:val="single"/>
        </w:rPr>
      </w:r>
    </w:p>
    <w:p>
      <w:pPr>
        <w:pStyle w:val="Normal"/>
        <w:rPr/>
      </w:pPr>
      <w:r>
        <w:rPr/>
        <w:tab/>
      </w:r>
      <w:r>
        <w:rPr>
          <w:u w:val="single"/>
        </w:rPr>
        <w:t>General Procedures for Safeguarding Confidentiality</w:t>
      </w:r>
    </w:p>
    <w:p>
      <w:pPr>
        <w:pStyle w:val="Normal"/>
        <w:rPr/>
      </w:pPr>
      <w:r>
        <w:rPr/>
        <w:tab/>
      </w:r>
    </w:p>
    <w:p>
      <w:pPr>
        <w:pStyle w:val="Normal"/>
        <w:rPr/>
      </w:pPr>
      <w:r>
        <w:rPr/>
        <w:tab/>
        <w:t>a.</w:t>
        <w:tab/>
      </w:r>
      <w:r>
        <w:rPr>
          <w:u w:val="single"/>
        </w:rPr>
        <w:t>General Procedures</w:t>
      </w:r>
    </w:p>
    <w:p>
      <w:pPr>
        <w:pStyle w:val="Normal"/>
        <w:rPr>
          <w:u w:val="single"/>
        </w:rPr>
      </w:pPr>
      <w:r>
        <w:rPr>
          <w:u w:val="single"/>
        </w:rPr>
      </w:r>
    </w:p>
    <w:p>
      <w:pPr>
        <w:pStyle w:val="Normal"/>
        <w:rPr/>
      </w:pPr>
      <w:r>
        <w:rPr/>
        <w:tab/>
        <w:t xml:space="preserve">All non-public information relating to PG&amp;E received by Committee Personnel in connection with Committee-related activities (“Confidential Committee Information”) shall be treated as confidential information subject to the “General Procedures for Safeguarding Confidentiality” found on pages 2–3 of the Handbook.  </w:t>
      </w:r>
    </w:p>
    <w:p>
      <w:pPr>
        <w:pStyle w:val="Normal"/>
        <w:rPr/>
      </w:pPr>
      <w:r>
        <w:rPr/>
      </w:r>
    </w:p>
    <w:p>
      <w:pPr>
        <w:pStyle w:val="Normal"/>
        <w:rPr/>
      </w:pPr>
      <w:r>
        <w:rPr/>
        <w:tab/>
        <w:t xml:space="preserve">b. </w:t>
        <w:tab/>
      </w:r>
      <w:r>
        <w:rPr>
          <w:u w:val="single"/>
        </w:rPr>
        <w:t>Filing Requirement</w:t>
      </w:r>
    </w:p>
    <w:p>
      <w:pPr>
        <w:pStyle w:val="Normal"/>
        <w:rPr>
          <w:u w:val="single"/>
        </w:rPr>
      </w:pPr>
      <w:r>
        <w:rPr>
          <w:u w:val="single"/>
        </w:rPr>
      </w:r>
    </w:p>
    <w:p>
      <w:pPr>
        <w:pStyle w:val="Normal"/>
        <w:rPr/>
      </w:pPr>
      <w:r>
        <w:rPr/>
        <w:tab/>
        <w:t xml:space="preserve">In addition, Committee Personnel and all other persons receiving Confidential Committee Information must keep such information in files that cannot be accessed by other Enron Corp. employees.  Details regarding the safeguarding of such files should be determined in consultation with the Enron Corp. Legal Department. </w:t>
      </w:r>
    </w:p>
    <w:p>
      <w:pPr>
        <w:pStyle w:val="Normal"/>
        <w:rPr/>
      </w:pPr>
      <w:r>
        <w:rPr/>
      </w:r>
    </w:p>
    <w:p>
      <w:pPr>
        <w:pStyle w:val="Normal"/>
        <w:rPr/>
      </w:pPr>
      <w:r>
        <w:rPr/>
        <w:tab/>
        <w:t xml:space="preserve">c. </w:t>
        <w:tab/>
      </w:r>
      <w:r>
        <w:rPr>
          <w:u w:val="single"/>
        </w:rPr>
        <w:t>Limited Sharing of Information with Certain Employees</w:t>
      </w:r>
    </w:p>
    <w:p>
      <w:pPr>
        <w:pStyle w:val="Normal"/>
        <w:rPr>
          <w:u w:val="single"/>
        </w:rPr>
      </w:pPr>
      <w:r>
        <w:rPr>
          <w:u w:val="single"/>
        </w:rPr>
      </w:r>
    </w:p>
    <w:p>
      <w:pPr>
        <w:pStyle w:val="Normal"/>
        <w:rPr/>
      </w:pPr>
      <w:r>
        <w:rPr/>
        <w:tab/>
        <w:t>Committee Personnel shall be allowed to share Confidential Committee Information with certain employees of Enron Corp. that have a legitimate need to know such information in connection with his or her duties.  The Review Team shall maintain an updated list of employees that are allowed to receive such information.  Committee Personnel must confirm that the employees they share information with are named in this list.  Such information received by these employees shall be treated as confidential and shall be subject to the “General Procedures for Safeguarding Confidentiality” described in this Memorandum.</w:t>
        <w:tab/>
      </w:r>
    </w:p>
    <w:p>
      <w:pPr>
        <w:pStyle w:val="Normal"/>
        <w:rPr/>
      </w:pPr>
      <w:r>
        <w:rPr/>
      </w:r>
    </w:p>
    <w:p>
      <w:pPr>
        <w:pStyle w:val="Normal"/>
        <w:rPr/>
      </w:pPr>
      <w:r>
        <w:rPr/>
        <w:tab/>
      </w:r>
      <w:r>
        <w:rPr>
          <w:u w:val="single"/>
        </w:rPr>
        <w:t xml:space="preserve">Application of Chinese Wall Procedures to Communications with Committee Personnel </w:t>
      </w:r>
      <w:r>
        <w:rPr/>
        <w:tab/>
      </w:r>
    </w:p>
    <w:p>
      <w:pPr>
        <w:pStyle w:val="Normal"/>
        <w:rPr/>
      </w:pPr>
      <w:r>
        <w:rPr/>
      </w:r>
    </w:p>
    <w:p>
      <w:pPr>
        <w:pStyle w:val="Normal"/>
        <w:rPr/>
      </w:pPr>
      <w:r>
        <w:rPr/>
        <w:tab/>
        <w:t xml:space="preserve">The Chinese Wall Procedures found on pages 6–7 of the Handbook shall generally apply to </w:t>
        <w:softHyphen/>
        <w:t xml:space="preserve">all communication of business information between any employee and Committee Personnel.  In particular, Confidential Committee Information shall not be communicated by any employee of Enron Corp. to Committee Personnel unless such communication is specifically approved by the Review Team and Confidential Committee Information shall not be communicated by Committee Personnel to any employee of Enron Corp. unless such communication is specifically approved by the Review Team.  </w:t>
      </w:r>
    </w:p>
    <w:p>
      <w:pPr>
        <w:pStyle w:val="Normal"/>
        <w:rPr>
          <w:i/>
          <w:i/>
        </w:rPr>
      </w:pPr>
      <w:r>
        <w:rPr>
          <w:i/>
        </w:rPr>
      </w:r>
    </w:p>
    <w:p>
      <w:pPr>
        <w:pStyle w:val="Normal"/>
        <w:rPr/>
      </w:pPr>
      <w:r>
        <w:rPr/>
        <w:tab/>
      </w:r>
      <w:r>
        <w:rPr>
          <w:u w:val="single"/>
        </w:rPr>
        <w:t>Special Procedure for Exchange of Information with Trading and Research Personnel</w:t>
      </w:r>
    </w:p>
    <w:p>
      <w:pPr>
        <w:pStyle w:val="Normal"/>
        <w:rPr>
          <w:u w:val="single"/>
        </w:rPr>
      </w:pPr>
      <w:r>
        <w:rPr>
          <w:u w:val="single"/>
        </w:rPr>
      </w:r>
    </w:p>
    <w:p>
      <w:pPr>
        <w:pStyle w:val="Normal"/>
        <w:rPr>
          <w:u w:val="single"/>
        </w:rPr>
      </w:pPr>
      <w:r>
        <w:rPr/>
        <w:tab/>
        <w:t>a.</w:t>
        <w:tab/>
        <w:t>Committee Personnel and personnel who receive information from Committee Personnel on a need to know basis as set forth in c. above shall not share Confidential Committee Information with Trading and Research Personnel unless such communication is specifically approved by the Review Team.</w:t>
      </w:r>
    </w:p>
    <w:p>
      <w:pPr>
        <w:pStyle w:val="Normal"/>
        <w:rPr>
          <w:u w:val="single"/>
        </w:rPr>
      </w:pPr>
      <w:r>
        <w:rPr>
          <w:u w:val="single"/>
        </w:rPr>
      </w:r>
    </w:p>
    <w:p>
      <w:pPr>
        <w:pStyle w:val="Normal"/>
        <w:rPr/>
      </w:pPr>
      <w:r>
        <w:rPr/>
        <w:tab/>
        <w:t>b.</w:t>
        <w:tab/>
        <w:t>Trading and Research Personnel shall not provide to Committee Personnel any information regarding trades in, or research related to, Affected Securities or Affected Commodities as defined below, in advance of such trades or the publication of such research:</w:t>
      </w:r>
    </w:p>
    <w:p>
      <w:pPr>
        <w:pStyle w:val="Normal"/>
        <w:rPr/>
      </w:pPr>
      <w:r>
        <w:rPr/>
      </w:r>
    </w:p>
    <w:p>
      <w:pPr>
        <w:pStyle w:val="Normal"/>
        <w:numPr>
          <w:ilvl w:val="0"/>
          <w:numId w:val="13"/>
        </w:numPr>
        <w:rPr>
          <w:u w:val="single"/>
        </w:rPr>
      </w:pPr>
      <w:r>
        <w:rPr/>
        <w:t>“</w:t>
      </w:r>
      <w:r>
        <w:rPr/>
        <w:t>Affected Securities” means: (i) PG&amp;E’s stock, notes, bonds, debentures, and commercial paper or other paper, (ii) participations in any of PG&amp;E’s debt obligations, and (iii) any other claims against or interests in PG&amp;E; and</w:t>
      </w:r>
    </w:p>
    <w:p>
      <w:pPr>
        <w:pStyle w:val="Normal"/>
        <w:rPr>
          <w:u w:val="single"/>
        </w:rPr>
      </w:pPr>
      <w:r>
        <w:rPr>
          <w:u w:val="single"/>
        </w:rPr>
      </w:r>
    </w:p>
    <w:p>
      <w:pPr>
        <w:pStyle w:val="Normal"/>
        <w:numPr>
          <w:ilvl w:val="0"/>
          <w:numId w:val="13"/>
        </w:numPr>
        <w:rPr>
          <w:u w:val="single"/>
        </w:rPr>
      </w:pPr>
      <w:r>
        <w:rPr/>
        <w:t>“</w:t>
      </w:r>
      <w:r>
        <w:rPr/>
        <w:t>Affected Commodities” means:  credit derivatives, gas, power, coal, and other commodities, including without limitation, physical, financial, derivative and other transactions and products, involving or relating to PG&amp;E or its affiliates, or in the markets in which PG&amp;E or its affiliates conduct the same or similar operations or in other markets.</w:t>
      </w:r>
    </w:p>
    <w:p>
      <w:pPr>
        <w:pStyle w:val="Normal"/>
        <w:rPr>
          <w:u w:val="single"/>
        </w:rPr>
      </w:pPr>
      <w:r>
        <w:rPr>
          <w:u w:val="single"/>
        </w:rPr>
      </w:r>
    </w:p>
    <w:p>
      <w:pPr>
        <w:pStyle w:val="Normal"/>
        <w:rPr/>
      </w:pPr>
      <w:r>
        <w:rPr/>
        <w:tab/>
        <w:t xml:space="preserve">c. </w:t>
        <w:tab/>
        <w:t>Notwithstanding the prohibition in b. above, Trading and Research Personnel may provide Committee Personnel with the following information:</w:t>
      </w:r>
    </w:p>
    <w:p>
      <w:pPr>
        <w:pStyle w:val="Normal"/>
        <w:rPr/>
      </w:pPr>
      <w:r>
        <w:rPr/>
      </w:r>
    </w:p>
    <w:p>
      <w:pPr>
        <w:pStyle w:val="Normal"/>
        <w:numPr>
          <w:ilvl w:val="0"/>
          <w:numId w:val="13"/>
        </w:numPr>
        <w:rPr/>
      </w:pPr>
      <w:r>
        <w:rPr/>
        <w:t>usual and customary internal and public reports with respect to trades and proprietary positions of Enron Corp., including trades and positions in Affected Securities and Affected Commodities;</w:t>
      </w:r>
    </w:p>
    <w:p>
      <w:pPr>
        <w:pStyle w:val="Normal"/>
        <w:ind w:start="720" w:end="0"/>
        <w:rPr/>
      </w:pPr>
      <w:r>
        <w:rPr/>
      </w:r>
    </w:p>
    <w:p>
      <w:pPr>
        <w:pStyle w:val="Normal"/>
        <w:numPr>
          <w:ilvl w:val="0"/>
          <w:numId w:val="13"/>
        </w:numPr>
        <w:rPr/>
      </w:pPr>
      <w:r>
        <w:rPr/>
        <w:t xml:space="preserve">research reports regarding Affected Securities and Affected Commodities, </w:t>
      </w:r>
      <w:r>
        <w:rPr>
          <w:i/>
        </w:rPr>
        <w:t>after they have been made public</w:t>
      </w:r>
      <w:r>
        <w:rPr/>
        <w:t xml:space="preserve">; and </w:t>
      </w:r>
    </w:p>
    <w:p>
      <w:pPr>
        <w:pStyle w:val="Normal"/>
        <w:ind w:start="720" w:end="0"/>
        <w:rPr/>
      </w:pPr>
      <w:r>
        <w:rPr/>
      </w:r>
    </w:p>
    <w:p>
      <w:pPr>
        <w:pStyle w:val="Normal"/>
        <w:numPr>
          <w:ilvl w:val="0"/>
          <w:numId w:val="13"/>
        </w:numPr>
        <w:rPr/>
      </w:pPr>
      <w:r>
        <w:rPr/>
        <w:t>subject to specific approval by the Review Team, information regarding trades or proposed trades in Affected Commodities between Enron Corp. and PG&amp;E or their affiliates, in advance of such trades.</w:t>
      </w:r>
    </w:p>
    <w:p>
      <w:pPr>
        <w:pStyle w:val="Normal"/>
        <w:rPr/>
      </w:pPr>
      <w:r>
        <w:rPr/>
      </w:r>
    </w:p>
    <w:p>
      <w:pPr>
        <w:pStyle w:val="Normal"/>
        <w:rPr/>
      </w:pPr>
      <w:r>
        <w:rPr/>
        <w:tab/>
        <w:t xml:space="preserve">d. </w:t>
        <w:tab/>
        <w:t>If Committee Personnel receive information in violation of b. or c. above, such personnel shall promptly disclose the receipt of such information to the Committee and abstain from voting on any matter in the PG&amp;E bankruptcy proceeding that might be affected by such information, which matters shall be determined in consultation with the Review Team.</w:t>
      </w:r>
    </w:p>
    <w:p>
      <w:pPr>
        <w:pStyle w:val="Normal"/>
        <w:rPr>
          <w:u w:val="single"/>
        </w:rPr>
      </w:pPr>
      <w:r>
        <w:rPr/>
        <w:tab/>
      </w:r>
    </w:p>
    <w:p>
      <w:pPr>
        <w:pStyle w:val="Normal"/>
        <w:rPr/>
      </w:pPr>
      <w:r>
        <w:rPr/>
        <w:tab/>
      </w:r>
      <w:r>
        <w:rPr>
          <w:i/>
          <w:u w:val="single"/>
        </w:rPr>
        <w:t>Periodic Compliance Review</w:t>
      </w:r>
    </w:p>
    <w:p>
      <w:pPr>
        <w:pStyle w:val="Normal"/>
        <w:rPr>
          <w:i/>
          <w:i/>
          <w:u w:val="single"/>
        </w:rPr>
      </w:pPr>
      <w:r>
        <w:rPr>
          <w:i/>
          <w:u w:val="single"/>
        </w:rPr>
      </w:r>
    </w:p>
    <w:p>
      <w:pPr>
        <w:pStyle w:val="Normal"/>
        <w:rPr/>
      </w:pPr>
      <w:r>
        <w:rPr/>
        <w:tab/>
        <w:t>These Ethical Wall Procedures are subject to periodic review by the Compliance Department  to ensure compliance with the Court Order.  The Compliance Department shall maintain records of their review.</w:t>
      </w:r>
    </w:p>
    <w:p>
      <w:pPr>
        <w:pStyle w:val="Normal"/>
        <w:rPr>
          <w:u w:val="single"/>
        </w:rPr>
      </w:pPr>
      <w:r>
        <w:rPr>
          <w:u w:val="single"/>
        </w:rPr>
      </w:r>
    </w:p>
    <w:p>
      <w:pPr>
        <w:pStyle w:val="Normal"/>
        <w:rPr>
          <w:u w:val="single"/>
        </w:rPr>
      </w:pPr>
      <w:r>
        <w:rPr>
          <w:u w:val="single"/>
        </w:rPr>
      </w:r>
    </w:p>
    <w:sectPr>
      <w:headerReference w:type="default" r:id="rId2"/>
      <w:footerReference w:type="default" r:id="rId3"/>
      <w:type w:val="nextPage"/>
      <w:pgSz w:w="12240" w:h="15840"/>
      <w:pgMar w:left="2160" w:right="1440" w:gutter="0" w:header="720" w:top="1915"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SCDocID"/>
      <w:rPr/>
    </w:pPr>
    <w:r>
      <w:rPr/>
      <w:softHyphen/>
      <w:t>NY12525:278957.3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Black" w:ascii="Arial Black" w:hAnsi="Arial Black"/>
        <w:sz w:val="16"/>
      </w:rPr>
      <w:t>Preliminary Internal Draft,</w:t>
    </w:r>
    <w:r>
      <w:rPr>
        <w:rFonts w:cs="Arial Black" w:ascii="Arial Black" w:hAnsi="Arial Black"/>
        <w:sz w:val="16"/>
      </w:rPr>
      <w:fldChar w:fldCharType="begin"/>
    </w:r>
    <w:r>
      <w:rPr>
        <w:sz w:val="16"/>
        <w:rFonts w:cs="Arial Black" w:ascii="Arial Black" w:hAnsi="Arial Black"/>
      </w:rPr>
      <w:instrText xml:space="preserve"> DATE \@"M\/d\/yy\ H:mm\ AM/PM" </w:instrText>
    </w:r>
    <w:r>
      <w:rPr>
        <w:sz w:val="16"/>
        <w:rFonts w:cs="Arial Black" w:ascii="Arial Black" w:hAnsi="Arial Black"/>
      </w:rPr>
      <w:fldChar w:fldCharType="separate"/>
    </w:r>
    <w:r>
      <w:rPr>
        <w:sz w:val="16"/>
        <w:rFonts w:cs="Arial Black" w:ascii="Arial Black" w:hAnsi="Arial Black"/>
      </w:rPr>
      <w:t>9/28/25 8:23 AM</w:t>
    </w:r>
    <w:r>
      <w:rPr>
        <w:sz w:val="16"/>
        <w:rFonts w:cs="Arial Black" w:ascii="Arial Black" w:hAnsi="Arial Black"/>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432"/>
        </w:tabs>
        <w:ind w:start="360" w:hanging="288"/>
      </w:pPr>
      <w:rPr>
        <w:rFonts w:ascii="Symbol" w:hAnsi="Symbol" w:cs="Symbol" w:hint="default"/>
        <w:sz w:val="24"/>
      </w:rPr>
    </w:lvl>
  </w:abstractNum>
  <w:abstractNum w:abstractNumId="1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b/>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outlineLvl w:val="4"/>
    </w:pPr>
    <w:rPr/>
  </w:style>
  <w:style w:type="paragraph" w:styleId="Heading6">
    <w:name w:val="heading 6"/>
    <w:basedOn w:val="Normal"/>
    <w:next w:val="Normal"/>
    <w:qFormat/>
    <w:pPr>
      <w:numPr>
        <w:ilvl w:val="5"/>
        <w:numId w:val="1"/>
      </w:numPr>
      <w:spacing w:before="0" w:after="240"/>
      <w:outlineLvl w:val="5"/>
    </w:pPr>
    <w:rPr/>
  </w:style>
  <w:style w:type="paragraph" w:styleId="Heading7">
    <w:name w:val="heading 7"/>
    <w:basedOn w:val="Normal"/>
    <w:next w:val="Normal"/>
    <w:qFormat/>
    <w:pPr>
      <w:numPr>
        <w:ilvl w:val="6"/>
        <w:numId w:val="1"/>
      </w:numPr>
      <w:spacing w:before="0" w:after="240"/>
      <w:outlineLvl w:val="6"/>
    </w:pPr>
    <w:rPr/>
  </w:style>
  <w:style w:type="paragraph" w:styleId="Heading8">
    <w:name w:val="heading 8"/>
    <w:basedOn w:val="Normal"/>
    <w:next w:val="Normal"/>
    <w:qFormat/>
    <w:pPr>
      <w:numPr>
        <w:ilvl w:val="7"/>
        <w:numId w:val="1"/>
      </w:numPr>
      <w:spacing w:before="0" w:after="240"/>
      <w:outlineLvl w:val="7"/>
    </w:pPr>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sz w:val="24"/>
    </w:rPr>
  </w:style>
  <w:style w:type="character" w:styleId="WW8Num12z0">
    <w:name w:val="WW8Num12z0"/>
    <w:qFormat/>
    <w:rPr>
      <w:rFonts w:ascii="Symbol" w:hAnsi="Symbol" w:cs="Symbol"/>
      <w:sz w:val="24"/>
    </w:rPr>
  </w:style>
  <w:style w:type="character" w:styleId="WW8Num13z0">
    <w:name w:val="WW8Num13z0"/>
    <w:qFormat/>
    <w:rPr>
      <w:rFonts w:ascii="Symbol" w:hAnsi="Symbol" w:cs="Symbol"/>
      <w:sz w:val="24"/>
    </w:rPr>
  </w:style>
  <w:style w:type="character" w:styleId="WW8Num14z0">
    <w:name w:val="WW8Num14z0"/>
    <w:qFormat/>
    <w:rPr>
      <w:rFonts w:ascii="Symbol" w:hAnsi="Symbol" w:cs="Symbol"/>
      <w:sz w:val="24"/>
    </w:rPr>
  </w:style>
  <w:style w:type="character" w:styleId="WW8Num15z0">
    <w:name w:val="WW8Num15z0"/>
    <w:qFormat/>
    <w:rPr>
      <w:rFonts w:ascii="Symbol" w:hAnsi="Symbol" w:cs="Symbol"/>
      <w:sz w:val="24"/>
    </w:rPr>
  </w:style>
  <w:style w:type="character" w:styleId="WW8Num16z0">
    <w:name w:val="WW8Num16z0"/>
    <w:qFormat/>
    <w:rPr>
      <w:rFonts w:ascii="Symbol" w:hAnsi="Symbol" w:cs="Symbol"/>
      <w:sz w:val="24"/>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sz w:val="24"/>
    </w:rPr>
  </w:style>
  <w:style w:type="character" w:styleId="WW8Num19z0">
    <w:name w:val="WW8Num19z0"/>
    <w:qFormat/>
    <w:rPr>
      <w:rFonts w:ascii="Symbol" w:hAnsi="Symbol" w:cs="Symbol"/>
      <w:sz w:val="24"/>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40"/>
      <w:jc w:val="center"/>
    </w:pPr>
    <w:rPr>
      <w:caps/>
    </w:rPr>
  </w:style>
  <w:style w:type="paragraph" w:styleId="BodyText">
    <w:name w:val="Body Text"/>
    <w:basedOn w:val="Normal"/>
    <w:pPr>
      <w:spacing w:before="0" w:after="240"/>
      <w:ind w:firstLine="1440" w:start="0" w:end="0"/>
    </w:pPr>
    <w:rPr/>
  </w:style>
  <w:style w:type="paragraph" w:styleId="List">
    <w:name w:val="List"/>
    <w:basedOn w:val="Normal"/>
    <w:pPr>
      <w:spacing w:before="0" w:after="240"/>
      <w:ind w:hanging="720" w:start="720" w:end="0"/>
    </w:pPr>
    <w:rPr/>
  </w:style>
  <w:style w:type="paragraph" w:styleId="Caption">
    <w:name w:val="caption"/>
    <w:basedOn w:val="Normal"/>
    <w:next w:val="Normal"/>
    <w:qFormat/>
    <w:pPr>
      <w:spacing w:before="120" w:after="120"/>
    </w:pPr>
    <w:rPr>
      <w:sz w:val="20"/>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before="0" w:after="240"/>
    </w:pPr>
    <w:rPr/>
  </w:style>
  <w:style w:type="paragraph" w:styleId="BodyText3">
    <w:name w:val="Body Text 3"/>
    <w:basedOn w:val="Normal"/>
    <w:qFormat/>
    <w:pPr>
      <w:spacing w:before="0" w:after="240"/>
      <w:ind w:firstLine="720" w:start="72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before="0" w:after="240"/>
      <w:ind w:firstLine="720" w:start="0" w:end="0"/>
    </w:pPr>
    <w:rPr/>
  </w:style>
  <w:style w:type="paragraph" w:styleId="BodyTextFirstIndent">
    <w:name w:val="Body Text First Indent"/>
    <w:basedOn w:val="Normal"/>
    <w:qFormat/>
    <w:pPr>
      <w:spacing w:before="0" w:after="240"/>
      <w:ind w:firstLine="1440" w:start="0" w:end="0"/>
    </w:pPr>
    <w:rPr/>
  </w:style>
  <w:style w:type="paragraph" w:styleId="BodyTextIndent2">
    <w:name w:val="Body Text Indent 2"/>
    <w:basedOn w:val="Normal"/>
    <w:qFormat/>
    <w:pPr>
      <w:spacing w:before="0" w:after="240"/>
      <w:ind w:hanging="0" w:start="720" w:end="0"/>
    </w:pPr>
    <w:rPr/>
  </w:style>
  <w:style w:type="paragraph" w:styleId="BodyTextIndent3">
    <w:name w:val="Body Text Indent 3"/>
    <w:basedOn w:val="Normal"/>
    <w:qFormat/>
    <w:pPr>
      <w:spacing w:before="0" w:after="240"/>
      <w:ind w:hanging="0" w:start="720" w:end="0"/>
    </w:pPr>
    <w:rPr/>
  </w:style>
  <w:style w:type="paragraph" w:styleId="CaptionText">
    <w:name w:val="Caption Text"/>
    <w:basedOn w:val="Normal"/>
    <w:qFormat/>
    <w:pPr>
      <w:spacing w:before="0" w:after="240"/>
    </w:pPr>
    <w:rPr/>
  </w:style>
  <w:style w:type="paragraph" w:styleId="CaptionTitle">
    <w:name w:val="Caption Title"/>
    <w:basedOn w:val="Normal"/>
    <w:qFormat/>
    <w:pPr>
      <w:keepNext w:val="true"/>
      <w:spacing w:before="0" w:after="240"/>
      <w:jc w:val="center"/>
    </w:pPr>
    <w:rPr>
      <w:b/>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z w:val="20"/>
    </w:rPr>
  </w:style>
  <w:style w:type="paragraph" w:styleId="DocumentMap">
    <w:name w:val="Document Map"/>
    <w:basedOn w:val="Normal"/>
    <w:qFormat/>
    <w:pPr>
      <w:shd w:fill="000080" w:val="clear"/>
      <w:jc w:val="both"/>
    </w:pPr>
    <w:rPr>
      <w:rFonts w:ascii="Tahoma" w:hAnsi="Tahoma" w:cs="Tahoma"/>
      <w:sz w:val="20"/>
    </w:rPr>
  </w:style>
  <w:style w:type="paragraph" w:styleId="Draft">
    <w:name w:val="Draft"/>
    <w:basedOn w:val="Normal"/>
    <w:qFormat/>
    <w:pPr>
      <w:jc w:val="end"/>
    </w:pPr>
    <w:rPr/>
  </w:style>
  <w:style w:type="paragraph" w:styleId="EndnoteText">
    <w:name w:val="endnote text"/>
    <w:basedOn w:val="Normal"/>
    <w:pPr/>
    <w:rPr>
      <w:sz w:val="20"/>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40"/>
      <w:ind w:hanging="720" w:start="720" w:end="0"/>
    </w:pPr>
    <w:rPr/>
  </w:style>
  <w:style w:type="paragraph" w:styleId="Header">
    <w:name w:val="header"/>
    <w:basedOn w:val="Normal"/>
    <w:pPr>
      <w:tabs>
        <w:tab w:val="clear" w:pos="720"/>
        <w:tab w:val="center" w:pos="4320" w:leader="none"/>
        <w:tab w:val="right" w:pos="8640" w:leader="none"/>
      </w:tabs>
    </w:pPr>
    <w:rPr/>
  </w:style>
  <w:style w:type="paragraph" w:styleId="Index1">
    <w:name w:val="index 1"/>
    <w:basedOn w:val="Normal"/>
    <w:pPr>
      <w:spacing w:before="0" w:after="240"/>
      <w:ind w:hanging="720" w:start="720" w:end="0"/>
    </w:pPr>
    <w:rPr/>
  </w:style>
  <w:style w:type="paragraph" w:styleId="Index2">
    <w:name w:val="index 2"/>
    <w:basedOn w:val="Normal"/>
    <w:pPr>
      <w:spacing w:before="0" w:after="240"/>
      <w:ind w:hanging="720" w:start="1440" w:end="0"/>
    </w:pPr>
    <w:rPr/>
  </w:style>
  <w:style w:type="paragraph" w:styleId="Index3">
    <w:name w:val="index 3"/>
    <w:basedOn w:val="Normal"/>
    <w:pPr>
      <w:spacing w:before="0" w:after="240"/>
      <w:ind w:hanging="720" w:start="2160" w:end="0"/>
    </w:pPr>
    <w:rPr/>
  </w:style>
  <w:style w:type="paragraph" w:styleId="Index4">
    <w:name w:val="Index 4"/>
    <w:basedOn w:val="Normal"/>
    <w:qFormat/>
    <w:pPr>
      <w:spacing w:before="0" w:after="240"/>
      <w:ind w:hanging="720" w:start="2880" w:end="0"/>
    </w:pPr>
    <w:rPr/>
  </w:style>
  <w:style w:type="paragraph" w:styleId="Index5">
    <w:name w:val="Index 5"/>
    <w:basedOn w:val="Normal"/>
    <w:qFormat/>
    <w:pPr>
      <w:spacing w:before="0" w:after="240"/>
      <w:ind w:hanging="720" w:start="3600" w:end="0"/>
    </w:pPr>
    <w:rPr/>
  </w:style>
  <w:style w:type="paragraph" w:styleId="Index6">
    <w:name w:val="Index 6"/>
    <w:basedOn w:val="Normal"/>
    <w:qFormat/>
    <w:pPr>
      <w:spacing w:before="0" w:after="240"/>
      <w:ind w:hanging="720" w:start="3600" w:end="0"/>
    </w:pPr>
    <w:rPr/>
  </w:style>
  <w:style w:type="paragraph" w:styleId="Index7">
    <w:name w:val="Index 7"/>
    <w:basedOn w:val="Normal"/>
    <w:qFormat/>
    <w:pPr>
      <w:spacing w:before="0" w:after="240"/>
      <w:ind w:hanging="720" w:start="4320" w:end="0"/>
    </w:pPr>
    <w:rPr/>
  </w:style>
  <w:style w:type="paragraph" w:styleId="Index8">
    <w:name w:val="Index 8"/>
    <w:basedOn w:val="Normal"/>
    <w:qFormat/>
    <w:pPr>
      <w:spacing w:before="0" w:after="240"/>
      <w:ind w:hanging="720" w:start="5040" w:end="0"/>
    </w:pPr>
    <w:rPr/>
  </w:style>
  <w:style w:type="paragraph" w:styleId="Index9">
    <w:name w:val="Index 9"/>
    <w:basedOn w:val="Normal"/>
    <w:qFormat/>
    <w:pPr>
      <w:spacing w:before="0" w:after="240"/>
      <w:ind w:hanging="720" w:start="5760" w:end="0"/>
    </w:pPr>
    <w:rPr/>
  </w:style>
  <w:style w:type="paragraph" w:styleId="IndexHeading">
    <w:name w:val="index heading"/>
    <w:basedOn w:val="Normal"/>
    <w:next w:val="Index1"/>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spacing w:before="0" w:after="240"/>
      <w:ind w:hanging="720" w:start="3600" w:end="0"/>
    </w:pPr>
    <w:rPr/>
  </w:style>
  <w:style w:type="paragraph" w:styleId="ListBullet21">
    <w:name w:val="List Bullet 21"/>
    <w:basedOn w:val="Normal"/>
    <w:qFormat/>
    <w:pPr>
      <w:numPr>
        <w:ilvl w:val="0"/>
        <w:numId w:val="9"/>
      </w:numPr>
      <w:tabs>
        <w:tab w:val="clear" w:pos="720"/>
        <w:tab w:val="left" w:pos="1440" w:leader="none"/>
      </w:tabs>
      <w:spacing w:before="0" w:after="240"/>
      <w:ind w:hanging="720" w:start="1440" w:end="0"/>
    </w:pPr>
    <w:rPr/>
  </w:style>
  <w:style w:type="paragraph" w:styleId="ListBullet31">
    <w:name w:val="List Bullet 31"/>
    <w:basedOn w:val="Normal"/>
    <w:qFormat/>
    <w:pPr>
      <w:numPr>
        <w:ilvl w:val="0"/>
        <w:numId w:val="8"/>
      </w:numPr>
      <w:tabs>
        <w:tab w:val="clear" w:pos="720"/>
        <w:tab w:val="left" w:pos="2160" w:leader="none"/>
      </w:tabs>
      <w:spacing w:before="0" w:after="240"/>
      <w:ind w:hanging="720" w:start="2160" w:end="0"/>
    </w:pPr>
    <w:rPr/>
  </w:style>
  <w:style w:type="paragraph" w:styleId="ListBullet41">
    <w:name w:val="List Bullet 41"/>
    <w:basedOn w:val="Normal"/>
    <w:qFormat/>
    <w:pPr>
      <w:numPr>
        <w:ilvl w:val="0"/>
        <w:numId w:val="7"/>
      </w:numPr>
      <w:tabs>
        <w:tab w:val="clear" w:pos="720"/>
        <w:tab w:val="left" w:pos="2880" w:leader="none"/>
      </w:tabs>
      <w:spacing w:before="0" w:after="240"/>
      <w:ind w:hanging="720" w:start="2880" w:end="0"/>
    </w:pPr>
    <w:rPr/>
  </w:style>
  <w:style w:type="paragraph" w:styleId="ListBullet51">
    <w:name w:val="List Bullet 51"/>
    <w:basedOn w:val="Normal"/>
    <w:qFormat/>
    <w:pPr>
      <w:numPr>
        <w:ilvl w:val="0"/>
        <w:numId w:val="6"/>
      </w:numPr>
      <w:tabs>
        <w:tab w:val="clear" w:pos="720"/>
        <w:tab w:val="left" w:pos="3600" w:leader="none"/>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44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Continue">
    <w:name w:val="List Continue"/>
    <w:basedOn w:val="Normal"/>
    <w:qFormat/>
    <w:pPr>
      <w:spacing w:before="0" w:after="240"/>
    </w:pPr>
    <w:rPr/>
  </w:style>
  <w:style w:type="paragraph" w:styleId="ListNumber2">
    <w:name w:val="List Number 2"/>
    <w:basedOn w:val="Normal"/>
    <w:qFormat/>
    <w:pPr>
      <w:numPr>
        <w:ilvl w:val="0"/>
        <w:numId w:val="5"/>
      </w:numPr>
      <w:tabs>
        <w:tab w:val="clear" w:pos="720"/>
        <w:tab w:val="left" w:pos="1440" w:leader="none"/>
      </w:tabs>
      <w:spacing w:before="0" w:after="240"/>
      <w:ind w:hanging="720" w:start="1440" w:end="0"/>
    </w:pPr>
    <w:rPr/>
  </w:style>
  <w:style w:type="paragraph" w:styleId="ListNumber3">
    <w:name w:val="List Number 3"/>
    <w:basedOn w:val="Normal"/>
    <w:qFormat/>
    <w:pPr>
      <w:numPr>
        <w:ilvl w:val="0"/>
        <w:numId w:val="4"/>
      </w:numPr>
      <w:tabs>
        <w:tab w:val="clear" w:pos="720"/>
        <w:tab w:val="left" w:pos="2160" w:leader="none"/>
      </w:tabs>
      <w:spacing w:before="0" w:after="240"/>
      <w:ind w:hanging="720" w:start="2160" w:end="0"/>
    </w:pPr>
    <w:rPr/>
  </w:style>
  <w:style w:type="paragraph" w:styleId="ListNumber4">
    <w:name w:val="List Number 4"/>
    <w:basedOn w:val="Normal"/>
    <w:qFormat/>
    <w:pPr>
      <w:numPr>
        <w:ilvl w:val="0"/>
        <w:numId w:val="3"/>
      </w:numPr>
      <w:tabs>
        <w:tab w:val="clear" w:pos="720"/>
        <w:tab w:val="left" w:pos="2880" w:leader="none"/>
      </w:tabs>
      <w:spacing w:before="0" w:after="240"/>
      <w:ind w:hanging="720" w:start="2880" w:end="0"/>
    </w:pPr>
    <w:rPr/>
  </w:style>
  <w:style w:type="paragraph" w:styleId="ListNumber5">
    <w:name w:val="List Number 5"/>
    <w:basedOn w:val="Normal"/>
    <w:qFormat/>
    <w:pPr>
      <w:numPr>
        <w:ilvl w:val="0"/>
        <w:numId w:val="2"/>
      </w:numPr>
      <w:tabs>
        <w:tab w:val="clear" w:pos="720"/>
        <w:tab w:val="left" w:pos="3600" w:leader="none"/>
      </w:tabs>
      <w:spacing w:before="0" w:after="240"/>
      <w:ind w:hanging="720" w:start="3600" w:end="0"/>
    </w:pPr>
    <w:rPr/>
  </w:style>
  <w:style w:type="paragraph" w:styleId="ListNumber">
    <w:name w:val="List Number"/>
    <w:basedOn w:val="Normal"/>
    <w:qFormat/>
    <w:pPr>
      <w:numPr>
        <w:ilvl w:val="0"/>
        <w:numId w:val="10"/>
      </w:numPr>
      <w:tabs>
        <w:tab w:val="left" w:pos="720" w:leader="none"/>
      </w:tabs>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jc w:val="both"/>
    </w:pPr>
    <w:rPr>
      <w:rFonts w:ascii="Arial" w:hAnsi="Arial" w:cs="Arial"/>
      <w:sz w:val="20"/>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econdHeading1">
    <w:name w:val="Second Heading 1"/>
    <w:basedOn w:val="Normal"/>
    <w:qFormat/>
    <w:pPr>
      <w:keepNext w:val="true"/>
      <w:spacing w:before="0" w:after="240"/>
      <w:outlineLvl w:val="0"/>
    </w:pPr>
    <w:rPr/>
  </w:style>
  <w:style w:type="paragraph" w:styleId="SecondHeading2">
    <w:name w:val="Second Heading 2"/>
    <w:basedOn w:val="Normal"/>
    <w:qFormat/>
    <w:pPr>
      <w:spacing w:before="0" w:after="240"/>
      <w:outlineLvl w:val="1"/>
    </w:pPr>
    <w:rPr/>
  </w:style>
  <w:style w:type="paragraph" w:styleId="SecondHeading3">
    <w:name w:val="Second Heading 3"/>
    <w:basedOn w:val="Normal"/>
    <w:qFormat/>
    <w:pPr>
      <w:spacing w:before="0" w:after="240"/>
      <w:outlineLvl w:val="2"/>
    </w:pPr>
    <w:rPr/>
  </w:style>
  <w:style w:type="paragraph" w:styleId="SecondHeading4">
    <w:name w:val="Second Heading 4"/>
    <w:basedOn w:val="Normal"/>
    <w:qFormat/>
    <w:pPr>
      <w:spacing w:before="0" w:after="240"/>
      <w:outlineLvl w:val="3"/>
    </w:pPr>
    <w:rPr/>
  </w:style>
  <w:style w:type="paragraph" w:styleId="SecondHeading5">
    <w:name w:val="Second Heading 5"/>
    <w:basedOn w:val="Normal"/>
    <w:qFormat/>
    <w:pPr>
      <w:spacing w:before="0" w:after="240"/>
      <w:outlineLvl w:val="4"/>
    </w:pPr>
    <w:rPr/>
  </w:style>
  <w:style w:type="paragraph" w:styleId="SecondHeading6">
    <w:name w:val="Second Heading 6"/>
    <w:basedOn w:val="Normal"/>
    <w:qFormat/>
    <w:pPr>
      <w:spacing w:before="0" w:after="240"/>
      <w:outlineLvl w:val="5"/>
    </w:pPr>
    <w:rPr/>
  </w:style>
  <w:style w:type="paragraph" w:styleId="SecondHeading7">
    <w:name w:val="Second Heading 7"/>
    <w:basedOn w:val="Normal"/>
    <w:qFormat/>
    <w:pPr>
      <w:spacing w:before="0" w:after="240"/>
      <w:outlineLvl w:val="6"/>
    </w:pPr>
    <w:rPr/>
  </w:style>
  <w:style w:type="paragraph" w:styleId="SecondHeading8">
    <w:name w:val="Second Heading 8"/>
    <w:basedOn w:val="Normal"/>
    <w:qFormat/>
    <w:pPr>
      <w:spacing w:before="0" w:after="240"/>
      <w:outlineLvl w:val="7"/>
    </w:pPr>
    <w:rPr/>
  </w:style>
  <w:style w:type="paragraph" w:styleId="SecondHeading9">
    <w:name w:val="Second Heading 9"/>
    <w:basedOn w:val="Normal"/>
    <w:qFormat/>
    <w:pPr>
      <w:spacing w:before="0" w:after="240"/>
      <w:outlineLvl w:val="8"/>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240"/>
      <w:jc w:val="center"/>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ableText">
    <w:name w:val="Table Text"/>
    <w:basedOn w:val="Normal"/>
    <w:qFormat/>
    <w:pPr/>
    <w:rPr/>
  </w:style>
  <w:style w:type="paragraph" w:styleId="TOAHeading">
    <w:name w:val="TOA Heading"/>
    <w:basedOn w:val="Normal"/>
    <w:next w:val="Normal"/>
    <w:qFormat/>
    <w:pPr>
      <w:spacing w:before="0" w:after="240"/>
    </w:pPr>
    <w:rPr>
      <w:b/>
    </w:rPr>
  </w:style>
  <w:style w:type="paragraph" w:styleId="TOC1">
    <w:name w:val="toc 1"/>
    <w:basedOn w:val="Normal"/>
    <w:next w:val="Normal"/>
    <w:pPr>
      <w:tabs>
        <w:tab w:val="clear" w:pos="720"/>
        <w:tab w:val="right" w:pos="4147" w:leader="dot"/>
      </w:tabs>
      <w:ind w:hanging="0" w:start="0" w:end="432"/>
    </w:pPr>
    <w:rPr/>
  </w:style>
  <w:style w:type="paragraph" w:styleId="TOC2">
    <w:name w:val="toc 2"/>
    <w:basedOn w:val="Normal"/>
    <w:next w:val="Normal"/>
    <w:pPr>
      <w:tabs>
        <w:tab w:val="left" w:pos="720" w:leader="none"/>
        <w:tab w:val="left" w:pos="1440" w:leader="none"/>
        <w:tab w:val="right" w:pos="8640" w:leader="dot"/>
      </w:tabs>
      <w:ind w:hanging="0" w:start="720" w:end="720"/>
    </w:pPr>
    <w:rPr>
      <w:color w:val="000000"/>
    </w:rPr>
  </w:style>
  <w:style w:type="paragraph" w:styleId="TOC3">
    <w:name w:val="toc 3"/>
    <w:basedOn w:val="Normal"/>
    <w:next w:val="Normal"/>
    <w:pPr>
      <w:ind w:hanging="0" w:start="1440" w:end="0"/>
    </w:pPr>
    <w:rPr/>
  </w:style>
  <w:style w:type="paragraph" w:styleId="TOC4">
    <w:name w:val="toc 4"/>
    <w:basedOn w:val="Normal"/>
    <w:next w:val="Normal"/>
    <w:pPr>
      <w:ind w:hanging="0" w:start="2160" w:end="0"/>
    </w:pPr>
    <w:rPr/>
  </w:style>
  <w:style w:type="paragraph" w:styleId="TOC5">
    <w:name w:val="toc 5"/>
    <w:basedOn w:val="Normal"/>
    <w:next w:val="Normal"/>
    <w:pPr>
      <w:ind w:hanging="0" w:start="2880" w:end="0"/>
    </w:pPr>
    <w:rPr/>
  </w:style>
  <w:style w:type="paragraph" w:styleId="TOC6">
    <w:name w:val="toc 6"/>
    <w:basedOn w:val="Normal"/>
    <w:next w:val="Normal"/>
    <w:pPr>
      <w:ind w:hanging="0" w:start="3600" w:end="0"/>
    </w:pPr>
    <w:rPr/>
  </w:style>
  <w:style w:type="paragraph" w:styleId="TOC7">
    <w:name w:val="toc 7"/>
    <w:basedOn w:val="Normal"/>
    <w:next w:val="Normal"/>
    <w:pPr>
      <w:ind w:hanging="0" w:start="4320" w:end="0"/>
    </w:pPr>
    <w:rPr/>
  </w:style>
  <w:style w:type="paragraph" w:styleId="TOC8">
    <w:name w:val="toc 8"/>
    <w:basedOn w:val="Normal"/>
    <w:next w:val="Normal"/>
    <w:pPr>
      <w:ind w:hanging="0" w:start="5040" w:end="0"/>
    </w:pPr>
    <w:rPr/>
  </w:style>
  <w:style w:type="paragraph" w:styleId="TOC9">
    <w:name w:val="toc 9"/>
    <w:basedOn w:val="Normal"/>
    <w:next w:val="Normal"/>
    <w:pPr>
      <w:ind w:hanging="0" w:start="5760" w:end="0"/>
    </w:pPr>
    <w:rPr/>
  </w:style>
  <w:style w:type="paragraph" w:styleId="SCDocID">
    <w:name w:val="S&amp;C DocID"/>
    <w:basedOn w:val="Normal"/>
    <w:next w:val="Normal"/>
    <w:qFormat/>
    <w:pPr/>
    <w:rPr>
      <w:bCs/>
      <w:sz w:val="16"/>
    </w:rPr>
  </w:style>
  <w:style w:type="paragraph" w:styleId="Style11">
    <w:name w:val="Style1"/>
    <w:basedOn w:val="Normal"/>
    <w:qFormat/>
    <w:pPr>
      <w:numPr>
        <w:ilvl w:val="0"/>
        <w:numId w:val="12"/>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2001-05-23T15:45:00Z</dcterms:created>
  <dc:creator>Douglas K. Freeman</dc:creator>
  <dc:description/>
  <dc:language>en-CA</dc:language>
  <cp:lastModifiedBy>For Help Call PC Support, x 4277</cp:lastModifiedBy>
  <cp:lastPrinted>2001-05-23T14:12:00Z</cp:lastPrinted>
  <dcterms:modified xsi:type="dcterms:W3CDTF">2001-05-23T15:45:00Z</dcterms:modified>
  <cp:revision>2</cp:revision>
  <dc:subject/>
  <dc:title>fe</dc:title>
</cp:coreProperties>
</file>