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b/>
          <w:bCs/>
          <w:sz w:val="60"/>
          <w:szCs w:val="60"/>
        </w:rPr>
      </w:pPr>
      <w:r>
        <w:rPr>
          <w:b/>
          <w:bCs/>
          <w:sz w:val="60"/>
          <w:szCs w:val="60"/>
        </w:rPr>
        <w:t>Attachment J:</w:t>
      </w:r>
    </w:p>
    <w:p>
      <w:pPr>
        <w:pStyle w:val="Normal"/>
        <w:widowControl/>
        <w:spacing w:before="0" w:after="240"/>
        <w:rPr>
          <w:sz w:val="48"/>
          <w:szCs w:val="48"/>
        </w:rPr>
      </w:pPr>
      <w:r>
        <w:rPr>
          <w:sz w:val="48"/>
          <w:szCs w:val="48"/>
        </w:rPr>
        <w:t>Unforced Capacity for Installed Capacity Suppliers</w:t>
      </w:r>
    </w:p>
    <w:p>
      <w:pPr>
        <w:pStyle w:val="BodyText"/>
        <w:widowControl/>
        <w:ind w:hanging="0" w:end="0"/>
        <w:rPr>
          <w:b/>
          <w:bCs/>
        </w:rPr>
      </w:pPr>
      <w:r>
        <w:rPr>
          <w:b/>
          <w:bCs/>
          <w:sz w:val="28"/>
          <w:szCs w:val="28"/>
        </w:rPr>
        <w:t>1.0</w:t>
        <w:tab/>
        <w:t>Fundamental Formulae</w:t>
      </w:r>
    </w:p>
    <w:p>
      <w:pPr>
        <w:pStyle w:val="Normal"/>
        <w:widowControl/>
        <w:rPr/>
      </w:pPr>
      <w:r>
        <w:rPr/>
        <w:t>(1-1)</w:t>
        <w:tab/>
      </w:r>
      <w:r>
        <w:rPr>
          <w:sz w:val="20"/>
          <w:szCs w:val="20"/>
        </w:rPr>
      </w:r>
      <m:oMath xmlns:m="http://schemas.openxmlformats.org/officeDocument/2006/math">
        <m:r>
          <m:rPr>
            <m:lit/>
            <m:nor/>
          </m:rPr>
          <m:t xml:space="preserve">UCAP </m:t>
        </m:r>
        <m:r>
          <m:t xml:space="preserve">=</m:t>
        </m:r>
        <m:r>
          <m:t xml:space="preserve">(</m:t>
        </m:r>
        <m:r>
          <m:t xml:space="preserve">1</m:t>
        </m:r>
        <m:r>
          <m:t xml:space="preserve">−</m:t>
        </m:r>
        <m:r>
          <m:rPr>
            <m:lit/>
            <m:nor/>
          </m:rPr>
          <m:t xml:space="preserve">EFOR</m:t>
        </m:r>
        <m:r>
          <m:t xml:space="preserve">D</m:t>
        </m:r>
        <m:r>
          <m:t xml:space="preserve">)</m:t>
        </m:r>
        <m:r>
          <m:t xml:space="preserve">´</m:t>
        </m:r>
        <m:r>
          <m:rPr>
            <m:lit/>
            <m:nor/>
          </m:rPr>
          <m:t xml:space="preserve"> DMNC</m:t>
        </m:r>
      </m:oMath>
    </w:p>
    <w:p>
      <w:pPr>
        <w:pStyle w:val="Normal"/>
        <w:widowControl/>
        <w:rPr/>
      </w:pPr>
      <w:r>
        <w:rPr/>
      </w:r>
    </w:p>
    <w:p>
      <w:pPr>
        <w:pStyle w:val="Normal"/>
        <w:widowControl/>
        <w:rPr/>
      </w:pPr>
      <w:r>
        <w:rPr/>
        <w:t>(1-2)</w:t>
        <w:tab/>
      </w:r>
      <w:r>
        <w:rPr>
          <w:sz w:val="20"/>
          <w:szCs w:val="20"/>
        </w:rPr>
      </w:r>
      <m:oMath xmlns:m="http://schemas.openxmlformats.org/officeDocument/2006/math">
        <m:r>
          <m:rPr>
            <m:lit/>
            <m:nor/>
          </m:rPr>
          <m:t xml:space="preserve">EFOR</m:t>
        </m:r>
        <m:r>
          <m:t xml:space="preserve">D</m:t>
        </m:r>
        <m:r>
          <m:t xml:space="preserve">=</m:t>
        </m:r>
        <m:f>
          <m:num>
            <m:r>
              <m:t xml:space="preserve">f</m:t>
            </m:r>
            <m:r>
              <m:rPr>
                <m:lit/>
                <m:nor/>
              </m:rPr>
              <m:t xml:space="preserve">f </m:t>
            </m:r>
            <m:r>
              <m:t xml:space="preserve">´</m:t>
            </m:r>
            <m:r>
              <m:rPr>
                <m:lit/>
                <m:nor/>
              </m:rPr>
              <m:t xml:space="preserve"> FOH </m:t>
            </m:r>
            <m:r>
              <m:t xml:space="preserve">+</m:t>
            </m:r>
            <m:r>
              <m:rPr>
                <m:lit/>
                <m:nor/>
              </m:rPr>
              <m:t xml:space="preserve"> f</m:t>
            </m:r>
            <m:r>
              <m:rPr>
                <m:lit/>
                <m:nor/>
              </m:rPr>
              <m:t xml:space="preserve">p </m:t>
            </m:r>
            <m:r>
              <m:t xml:space="preserve">´</m:t>
            </m:r>
            <m:d>
              <m:dPr>
                <m:begChr m:val="("/>
                <m:endChr m:val=")"/>
              </m:dPr>
              <m:e>
                <m:r>
                  <m:rPr>
                    <m:lit/>
                    <m:nor/>
                  </m:rPr>
                  <m:t xml:space="preserve">EFOH-FOH</m:t>
                </m:r>
              </m:e>
            </m:d>
          </m:num>
          <m:den>
            <m:r>
              <m:rPr>
                <m:lit/>
                <m:nor/>
              </m:rPr>
              <m:t xml:space="preserve">SH </m:t>
            </m:r>
            <m:r>
              <m:t xml:space="preserve">+</m:t>
            </m:r>
            <m:r>
              <m:rPr>
                <m:lit/>
                <m:nor/>
              </m:rPr>
              <m:t xml:space="preserve"> f</m:t>
            </m:r>
            <m:r>
              <m:rPr>
                <m:lit/>
                <m:nor/>
              </m:rPr>
              <m:t xml:space="preserve">f </m:t>
            </m:r>
            <m:r>
              <m:t xml:space="preserve">´</m:t>
            </m:r>
            <m:r>
              <m:rPr>
                <m:lit/>
                <m:nor/>
              </m:rPr>
              <m:t xml:space="preserve"> FOH</m:t>
            </m:r>
          </m:den>
        </m:f>
      </m:oMath>
    </w:p>
    <w:p>
      <w:pPr>
        <w:pStyle w:val="Normal"/>
        <w:widowControl/>
        <w:rPr/>
      </w:pPr>
      <w:r>
        <w:rPr/>
      </w:r>
    </w:p>
    <w:p>
      <w:pPr>
        <w:pStyle w:val="Normal"/>
        <w:widowControl/>
        <w:rPr/>
      </w:pPr>
      <w:r>
        <w:rPr/>
        <w:t>(1-3)</w:t>
        <w:tab/>
      </w:r>
      <w:r>
        <w:rPr>
          <w:sz w:val="20"/>
          <w:szCs w:val="20"/>
        </w:rPr>
      </w:r>
      <m:oMath xmlns:m="http://schemas.openxmlformats.org/officeDocument/2006/math">
        <m:r>
          <m:t xml:space="preserve">f</m:t>
        </m:r>
        <m:r>
          <m:rPr>
            <m:lit/>
            <m:nor/>
          </m:rPr>
          <m:t xml:space="preserve">f </m:t>
        </m:r>
        <m:r>
          <m:t xml:space="preserve">=</m:t>
        </m:r>
        <m:f>
          <m:num>
            <m:f>
              <m:num>
                <m:r>
                  <m:t xml:space="preserve">1</m:t>
                </m:r>
              </m:num>
              <m:den>
                <m:r>
                  <m:t xml:space="preserve">r</m:t>
                </m:r>
              </m:den>
            </m:f>
            <m:r>
              <m:rPr>
                <m:lit/>
                <m:nor/>
              </m:rPr>
              <m:t xml:space="preserve"> + </m:t>
            </m:r>
            <m:f>
              <m:num>
                <m:r>
                  <m:t xml:space="preserve">1</m:t>
                </m:r>
              </m:num>
              <m:den>
                <m:r>
                  <m:t xml:space="preserve">T</m:t>
                </m:r>
              </m:den>
            </m:f>
          </m:num>
          <m:den>
            <m:f>
              <m:num>
                <m:r>
                  <m:t xml:space="preserve">1</m:t>
                </m:r>
              </m:num>
              <m:den>
                <m:r>
                  <m:t xml:space="preserve">r</m:t>
                </m:r>
              </m:den>
            </m:f>
            <m:r>
              <m:rPr>
                <m:lit/>
                <m:nor/>
              </m:rPr>
              <m:t xml:space="preserve"> + </m:t>
            </m:r>
            <m:f>
              <m:num>
                <m:r>
                  <m:t xml:space="preserve">1</m:t>
                </m:r>
              </m:num>
              <m:den>
                <m:r>
                  <m:t xml:space="preserve">T</m:t>
                </m:r>
              </m:den>
            </m:f>
            <m:r>
              <m:rPr>
                <m:lit/>
                <m:nor/>
              </m:rPr>
              <m:t xml:space="preserve"> + </m:t>
            </m:r>
            <m:f>
              <m:num>
                <m:r>
                  <m:t xml:space="preserve">1</m:t>
                </m:r>
              </m:num>
              <m:den>
                <m:r>
                  <m:t xml:space="preserve">D</m:t>
                </m:r>
              </m:den>
            </m:f>
          </m:den>
        </m:f>
      </m:oMath>
    </w:p>
    <w:p>
      <w:pPr>
        <w:pStyle w:val="Normal"/>
        <w:widowControl/>
        <w:rPr/>
      </w:pPr>
      <w:r>
        <w:rPr/>
      </w:r>
    </w:p>
    <w:p>
      <w:pPr>
        <w:pStyle w:val="Normal"/>
        <w:widowControl/>
        <w:rPr/>
      </w:pPr>
      <w:r>
        <w:rPr/>
        <w:t>(1-3a)</w:t>
        <w:tab/>
      </w:r>
      <w:r>
        <w:rPr>
          <w:sz w:val="20"/>
          <w:szCs w:val="20"/>
        </w:rPr>
      </w:r>
      <m:oMath xmlns:m="http://schemas.openxmlformats.org/officeDocument/2006/math">
        <m:r>
          <m:rPr>
            <m:lit/>
            <m:nor/>
          </m:rPr>
          <m:t xml:space="preserve">r = average forced outage duration = </m:t>
        </m:r>
        <m:f>
          <m:num>
            <m:r>
              <m:rPr>
                <m:lit/>
                <m:nor/>
              </m:rPr>
              <m:t xml:space="preserve">FOH</m:t>
            </m:r>
          </m:num>
          <m:den>
            <m:r>
              <m:rPr>
                <m:lit/>
                <m:nor/>
              </m:rPr>
              <m:t xml:space="preserve">number of forced outages</m:t>
            </m:r>
          </m:den>
        </m:f>
      </m:oMath>
    </w:p>
    <w:p>
      <w:pPr>
        <w:pStyle w:val="Normal"/>
        <w:widowControl/>
        <w:rPr/>
      </w:pPr>
      <w:r>
        <w:rPr/>
      </w:r>
    </w:p>
    <w:p>
      <w:pPr>
        <w:pStyle w:val="Normal"/>
        <w:widowControl/>
        <w:rPr/>
      </w:pPr>
      <w:r>
        <w:rPr/>
        <w:t>(1-3b)</w:t>
        <w:tab/>
      </w:r>
      <w:r>
        <w:rPr>
          <w:sz w:val="20"/>
          <w:szCs w:val="20"/>
        </w:rPr>
      </w:r>
      <m:oMath xmlns:m="http://schemas.openxmlformats.org/officeDocument/2006/math">
        <m:r>
          <m:t xml:space="preserve">T</m:t>
        </m:r>
        <m:r>
          <m:t xml:space="preserve">=</m:t>
        </m:r>
        <m:r>
          <m:rPr>
            <m:lit/>
            <m:nor/>
          </m:rPr>
          <m:t xml:space="preserve"> average time between calls for a unit to run = </m:t>
        </m:r>
        <m:f>
          <m:num>
            <m:r>
              <m:rPr>
                <m:lit/>
                <m:nor/>
              </m:rPr>
              <m:t xml:space="preserve">RSH</m:t>
            </m:r>
          </m:num>
          <m:den>
            <m:r>
              <m:rPr>
                <m:lit/>
                <m:nor/>
              </m:rPr>
              <m:t xml:space="preserve">number of attempted starts</m:t>
            </m:r>
          </m:den>
        </m:f>
      </m:oMath>
    </w:p>
    <w:p>
      <w:pPr>
        <w:pStyle w:val="Normal"/>
        <w:widowControl/>
        <w:rPr/>
      </w:pPr>
      <w:r>
        <w:rPr/>
      </w:r>
    </w:p>
    <w:p>
      <w:pPr>
        <w:pStyle w:val="Normal"/>
        <w:widowControl/>
        <w:rPr/>
      </w:pPr>
      <w:r>
        <w:rPr/>
        <w:t>(1-3c)</w:t>
        <w:tab/>
      </w:r>
      <w:r>
        <w:rPr>
          <w:sz w:val="20"/>
          <w:szCs w:val="20"/>
        </w:rPr>
      </w:r>
      <m:oMath xmlns:m="http://schemas.openxmlformats.org/officeDocument/2006/math">
        <m:r>
          <m:rPr>
            <m:lit/>
            <m:nor/>
          </m:rPr>
          <m:t xml:space="preserve">D = average run time = </m:t>
        </m:r>
        <m:f>
          <m:num>
            <m:r>
              <m:rPr>
                <m:lit/>
                <m:nor/>
              </m:rPr>
              <m:t xml:space="preserve">SH</m:t>
            </m:r>
          </m:num>
          <m:den>
            <m:r>
              <m:rPr>
                <m:lit/>
                <m:nor/>
              </m:rPr>
              <m:t xml:space="preserve">number of successful starts</m:t>
            </m:r>
          </m:den>
        </m:f>
      </m:oMath>
    </w:p>
    <w:p>
      <w:pPr>
        <w:pStyle w:val="Normal"/>
        <w:widowControl/>
        <w:rPr/>
      </w:pPr>
      <w:r>
        <w:rPr/>
      </w:r>
    </w:p>
    <w:p>
      <w:pPr>
        <w:pStyle w:val="Normal"/>
        <w:widowControl/>
        <w:rPr/>
      </w:pPr>
      <w:r>
        <w:rPr/>
        <w:t>(1-4)</w:t>
        <w:tab/>
      </w:r>
      <w:r>
        <w:rPr>
          <w:sz w:val="20"/>
          <w:szCs w:val="20"/>
        </w:rPr>
      </w:r>
      <m:oMath xmlns:m="http://schemas.openxmlformats.org/officeDocument/2006/math">
        <m:r>
          <m:t xml:space="preserve">f</m:t>
        </m:r>
        <m:r>
          <m:t xml:space="preserve">p</m:t>
        </m:r>
        <m:r>
          <m:t xml:space="preserve">=</m:t>
        </m:r>
        <m:f>
          <m:num>
            <m:r>
              <m:rPr>
                <m:lit/>
                <m:nor/>
              </m:rPr>
              <m:t xml:space="preserve"> SH </m:t>
            </m:r>
          </m:num>
          <m:den>
            <m:r>
              <m:rPr>
                <m:lit/>
                <m:nor/>
              </m:rPr>
              <m:t xml:space="preserve">AH</m:t>
            </m:r>
          </m:den>
        </m:f>
      </m:oMath>
    </w:p>
    <w:p>
      <w:pPr>
        <w:pStyle w:val="Normal"/>
        <w:widowControl/>
        <w:rPr/>
      </w:pPr>
      <w:r>
        <w:rPr/>
      </w:r>
    </w:p>
    <w:p>
      <w:pPr>
        <w:pStyle w:val="HeadingBody1"/>
        <w:widowControl/>
        <w:jc w:val="both"/>
        <w:rPr/>
      </w:pPr>
      <w:r>
        <w:rPr/>
        <w:t>Note: UCAP values will be calculated monthly for each Resource based on a rolling 12-month calculation.  The detailed formulae, including treatment where new units are being phased in, are shown in Section 3.</w:t>
      </w:r>
    </w:p>
    <w:p>
      <w:pPr>
        <w:pStyle w:val="BodyText"/>
        <w:widowControl/>
        <w:ind w:hanging="0" w:end="0"/>
        <w:rPr>
          <w:b/>
          <w:bCs/>
          <w:sz w:val="28"/>
          <w:szCs w:val="28"/>
        </w:rPr>
      </w:pPr>
      <w:r>
        <w:rPr>
          <w:b/>
          <w:bCs/>
          <w:sz w:val="28"/>
          <w:szCs w:val="28"/>
        </w:rPr>
        <w:t>2.0</w:t>
        <w:tab/>
        <w:t>Definitions</w:t>
      </w:r>
    </w:p>
    <w:p>
      <w:pPr>
        <w:pStyle w:val="Definitions"/>
        <w:widowControl/>
        <w:tabs>
          <w:tab w:val="clear" w:pos="2160"/>
          <w:tab w:val="left" w:pos="2835" w:leader="dot"/>
        </w:tabs>
        <w:ind w:hanging="2835" w:start="2835" w:end="0"/>
        <w:rPr/>
      </w:pPr>
      <w:r>
        <w:rPr/>
        <w:t>UCAP</w:t>
        <w:tab/>
        <w:t>Unforced Capacity</w:t>
      </w:r>
    </w:p>
    <w:p>
      <w:pPr>
        <w:pStyle w:val="Definitions"/>
        <w:widowControl/>
        <w:tabs>
          <w:tab w:val="clear" w:pos="2160"/>
          <w:tab w:val="left" w:pos="2835" w:leader="dot"/>
        </w:tabs>
        <w:ind w:hanging="2835" w:start="2835" w:end="0"/>
        <w:rPr/>
      </w:pPr>
      <w:r>
        <w:rPr/>
        <w:t>EFOR</w:t>
      </w:r>
      <w:r>
        <w:rPr>
          <w:vertAlign w:val="subscript"/>
        </w:rPr>
        <w:t>D</w:t>
      </w:r>
      <w:r>
        <w:rPr/>
        <w:tab/>
        <w:t>Equivalent Demand Forced Outage Rate</w:t>
      </w:r>
    </w:p>
    <w:p>
      <w:pPr>
        <w:pStyle w:val="Definitions"/>
        <w:widowControl/>
        <w:tabs>
          <w:tab w:val="clear" w:pos="2160"/>
          <w:tab w:val="left" w:pos="2835" w:leader="dot"/>
        </w:tabs>
        <w:ind w:hanging="2835" w:start="2835" w:end="0"/>
        <w:rPr/>
      </w:pPr>
      <w:r>
        <w:rPr/>
        <w:t>DMNC</w:t>
        <w:tab/>
        <w:t>per Tariff definition</w:t>
      </w:r>
    </w:p>
    <w:p>
      <w:pPr>
        <w:pStyle w:val="Definitions"/>
        <w:widowControl/>
        <w:tabs>
          <w:tab w:val="clear" w:pos="2160"/>
          <w:tab w:val="left" w:pos="2835" w:leader="dot"/>
        </w:tabs>
        <w:ind w:hanging="2835" w:start="2835" w:end="0"/>
        <w:rPr>
          <w:color w:val="000000"/>
        </w:rPr>
      </w:pPr>
      <w:r>
        <w:rPr/>
        <w:t>ICE</w:t>
        <w:tab/>
        <w:t>Installed Capacity Equivalent as defined in the Services Tariff and in Section 3 of this Attachment J.</w:t>
      </w:r>
    </w:p>
    <w:p>
      <w:pPr>
        <w:pStyle w:val="Normal"/>
        <w:widowControl/>
        <w:tabs>
          <w:tab w:val="clear" w:pos="720"/>
          <w:tab w:val="left" w:pos="2835" w:leader="dot"/>
        </w:tabs>
        <w:spacing w:before="0" w:after="240"/>
        <w:ind w:hanging="2837" w:start="2837" w:end="0"/>
        <w:jc w:val="both"/>
        <w:rPr/>
      </w:pPr>
      <w:r>
        <w:rPr>
          <w:color w:val="000000"/>
        </w:rPr>
        <w:t xml:space="preserve">Net Dependable Capacity </w:t>
        <w:tab/>
        <w:t xml:space="preserve">The gross power level that a unit can sustain </w:t>
      </w:r>
      <w:r>
        <w:rPr/>
        <w:t xml:space="preserve">during any period of time when there are no equipment, operating or regulatory </w:t>
      </w:r>
      <w:r>
        <w:rPr>
          <w:color w:val="000000"/>
        </w:rPr>
        <w:t>restrictions and after adjusting for station service and auxiliary loads and ambient conditions.  Average ambient temperature should reflect the average of the daily high temperatures for the month at the plant location.  Only one Net Dependable Capacity for each Resource shall be reported for each month.  That value may be either the Resource’s DMNC for the Capability Period containing that month or that Resource’s average Net Dependable Capacity for that month, at the discretion of the owner of the Resource.</w:t>
      </w:r>
    </w:p>
    <w:p>
      <w:pPr>
        <w:pStyle w:val="Definitions"/>
        <w:widowControl/>
        <w:tabs>
          <w:tab w:val="clear" w:pos="2160"/>
          <w:tab w:val="left" w:pos="2835" w:leader="dot"/>
        </w:tabs>
        <w:ind w:hanging="2835" w:start="2835" w:end="0"/>
        <w:rPr/>
      </w:pPr>
      <w:r>
        <w:rPr/>
        <w:t>f</w:t>
      </w:r>
      <w:r>
        <w:rPr>
          <w:vertAlign w:val="subscript"/>
        </w:rPr>
        <w:t>f</w:t>
      </w:r>
      <w:r>
        <w:rPr/>
        <w:tab/>
        <w:t>full f-factor (see formula in Section 1.0)</w:t>
      </w:r>
    </w:p>
    <w:p>
      <w:pPr>
        <w:pStyle w:val="Definitions"/>
        <w:widowControl/>
        <w:tabs>
          <w:tab w:val="clear" w:pos="2160"/>
          <w:tab w:val="left" w:pos="2835" w:leader="dot"/>
        </w:tabs>
        <w:ind w:hanging="2835" w:start="2835" w:end="0"/>
        <w:rPr/>
      </w:pPr>
      <w:r>
        <w:rPr/>
        <w:t>f</w:t>
      </w:r>
      <w:r>
        <w:rPr>
          <w:vertAlign w:val="subscript"/>
        </w:rPr>
        <w:t>p</w:t>
      </w:r>
      <w:r>
        <w:rPr/>
        <w:tab/>
        <w:t>partial f-factor (see formula in Section 1.0)</w:t>
      </w:r>
    </w:p>
    <w:p>
      <w:pPr>
        <w:pStyle w:val="Definitions"/>
        <w:widowControl/>
        <w:tabs>
          <w:tab w:val="clear" w:pos="2160"/>
          <w:tab w:val="left" w:pos="2835" w:leader="dot"/>
        </w:tabs>
        <w:ind w:hanging="2835" w:start="2835" w:end="0"/>
        <w:rPr/>
      </w:pPr>
      <w:r>
        <w:rPr/>
        <w:t>FOH</w:t>
        <w:tab/>
        <w:t>Full Forced Outage Hours</w:t>
      </w:r>
    </w:p>
    <w:p>
      <w:pPr>
        <w:pStyle w:val="Definitions"/>
        <w:widowControl/>
        <w:tabs>
          <w:tab w:val="clear" w:pos="2160"/>
          <w:tab w:val="left" w:pos="2835" w:leader="dot"/>
        </w:tabs>
        <w:ind w:hanging="2835" w:start="2835" w:end="0"/>
        <w:rPr/>
      </w:pPr>
      <w:r>
        <w:rPr/>
        <w:t>Forced Outage</w:t>
        <w:tab/>
        <w:t>An unplanned failure that requires a unit to be removed from service, or the Load on the unit to be reduced before the end of the nearest following Weekend.</w:t>
      </w:r>
    </w:p>
    <w:p>
      <w:pPr>
        <w:pStyle w:val="Definitions"/>
        <w:widowControl/>
        <w:tabs>
          <w:tab w:val="clear" w:pos="2160"/>
          <w:tab w:val="left" w:pos="2835" w:leader="dot"/>
        </w:tabs>
        <w:ind w:hanging="2835" w:start="2835" w:end="0"/>
        <w:rPr/>
      </w:pPr>
      <w:r>
        <w:rPr/>
        <w:t>EFOH</w:t>
        <w:tab/>
        <w:t>Equivalent Full Forced Outage Hours: Sum of all hours a unit was involved in an outage expressed as equivalent hours of full forced outage at its maximum net dependable capability.</w:t>
      </w:r>
    </w:p>
    <w:p>
      <w:pPr>
        <w:pStyle w:val="Definitions"/>
        <w:widowControl/>
        <w:tabs>
          <w:tab w:val="clear" w:pos="2160"/>
          <w:tab w:val="left" w:pos="2835" w:leader="dot"/>
        </w:tabs>
        <w:ind w:hanging="2835" w:start="2835" w:end="0"/>
        <w:rPr/>
      </w:pPr>
      <w:r>
        <w:rPr/>
        <w:t>SH</w:t>
        <w:tab/>
        <w:t>Service Hours: The time a unit is electrically connected to the system - Sum of all Unit Service Hours.</w:t>
      </w:r>
    </w:p>
    <w:p>
      <w:pPr>
        <w:pStyle w:val="Definitions"/>
        <w:widowControl/>
        <w:tabs>
          <w:tab w:val="clear" w:pos="2160"/>
          <w:tab w:val="left" w:pos="2835" w:leader="dot"/>
        </w:tabs>
        <w:ind w:hanging="2835" w:start="2835" w:end="0"/>
        <w:rPr/>
      </w:pPr>
      <w:r>
        <w:rPr/>
        <w:t>AH</w:t>
        <w:tab/>
        <w:t>Available Hours: The time a unit is capable of producing energy, regardless of its capacity level -- Sum of all Service Hours + Reserve Shutdown Hours + Pumping Hours + Synchronous Condensing Hours.</w:t>
      </w:r>
    </w:p>
    <w:p>
      <w:pPr>
        <w:pStyle w:val="Definitions"/>
        <w:widowControl/>
        <w:tabs>
          <w:tab w:val="clear" w:pos="2160"/>
          <w:tab w:val="left" w:pos="2835" w:leader="dot"/>
        </w:tabs>
        <w:ind w:hanging="2835" w:start="2835" w:end="0"/>
        <w:rPr/>
      </w:pPr>
      <w:r>
        <w:rPr/>
        <w:t>RSH</w:t>
        <w:tab/>
        <w:t>Reserve Shutdown Hours: The time a unit is available for service but not dispatched due to economic or other reasons.</w:t>
      </w:r>
    </w:p>
    <w:p>
      <w:pPr>
        <w:pStyle w:val="Definitions"/>
        <w:widowControl/>
        <w:tabs>
          <w:tab w:val="clear" w:pos="2160"/>
          <w:tab w:val="left" w:pos="2835" w:leader="dot"/>
        </w:tabs>
        <w:ind w:hanging="2835" w:start="2835" w:end="0"/>
        <w:rPr/>
      </w:pPr>
      <w:r>
        <w:rPr/>
        <w:t>PH</w:t>
        <w:tab/>
        <w:t>Period hours equals 24 times the number of days in the reporting period.</w:t>
      </w:r>
    </w:p>
    <w:p>
      <w:pPr>
        <w:pStyle w:val="Definitions"/>
        <w:widowControl/>
        <w:tabs>
          <w:tab w:val="clear" w:pos="2160"/>
          <w:tab w:val="left" w:pos="2340" w:leader="dot"/>
        </w:tabs>
        <w:ind w:hanging="0" w:start="0" w:end="0"/>
        <w:rPr/>
      </w:pPr>
      <w:r>
        <w:rPr/>
        <w:t>Note:  For in-depth GADS Data concepts, refer to the NERC Fast Link for GADS Services at www.nerc.com.</w:t>
      </w:r>
    </w:p>
    <w:p>
      <w:pPr>
        <w:pStyle w:val="BodyText"/>
        <w:widowControl/>
        <w:ind w:hanging="0" w:end="0"/>
        <w:rPr>
          <w:b/>
          <w:bCs/>
        </w:rPr>
      </w:pPr>
      <w:r>
        <w:rPr>
          <w:b/>
          <w:bCs/>
          <w:sz w:val="28"/>
          <w:szCs w:val="28"/>
        </w:rPr>
        <w:t>3.0</w:t>
        <w:tab/>
        <w:t>Calculations</w:t>
      </w:r>
    </w:p>
    <w:p>
      <w:pPr>
        <w:pStyle w:val="HeadingBody1"/>
        <w:widowControl/>
        <w:ind w:start="0" w:end="0"/>
        <w:jc w:val="both"/>
        <w:rPr/>
      </w:pPr>
      <w:r>
        <w:rPr>
          <w:color w:val="000000"/>
        </w:rPr>
        <w:t>In general, all generating Resources with nameplate capacities greater than 10 MWs or plants with aggregated capacities greater than 25 MW are expected to provide the full GADS Data set defined in Attachment K.  Units for which the full GADS Data set is provided will have their UCAP based on EFOR</w:t>
      </w:r>
      <w:r>
        <w:rPr>
          <w:color w:val="000000"/>
          <w:vertAlign w:val="subscript"/>
        </w:rPr>
        <w:t>D</w:t>
      </w:r>
      <w:r>
        <w:rPr>
          <w:color w:val="000000"/>
        </w:rPr>
        <w:t xml:space="preserve"> according to Section 3.1 below.  All other generating units will be rated based on equivalent GADS Data as described in Section 3.2.  Energy Limited Resources that do not want to have their UCAP based on production levels using equivalent GADS Data will have to submit GADS Data to document their available capacity for the minimum 4-hour daily requirement period.  Special Case Resources will have their UCAP based on Load reduction determined in Section 3.3.</w:t>
      </w:r>
    </w:p>
    <w:p>
      <w:pPr>
        <w:pStyle w:val="BodyText"/>
        <w:widowControl/>
        <w:rPr/>
      </w:pPr>
      <w:r>
        <w:rPr>
          <w:b/>
          <w:bCs/>
        </w:rPr>
        <w:t>3.1</w:t>
        <w:tab/>
        <w:t>UCAP based on EFOR</w:t>
      </w:r>
      <w:r>
        <w:rPr>
          <w:b/>
          <w:bCs/>
          <w:vertAlign w:val="subscript"/>
        </w:rPr>
        <w:t>D</w:t>
      </w:r>
    </w:p>
    <w:p>
      <w:pPr>
        <w:pStyle w:val="BodyText"/>
        <w:widowControl/>
        <w:rPr>
          <w:b/>
          <w:bCs/>
        </w:rPr>
      </w:pPr>
      <w:r>
        <w:rPr>
          <w:b/>
          <w:bCs/>
        </w:rPr>
        <w:t>(a)</w:t>
        <w:tab/>
        <w:t>Determining the Amount of UCAP a Supplier Qualifies to Supply</w:t>
      </w:r>
    </w:p>
    <w:p>
      <w:pPr>
        <w:pStyle w:val="Normal"/>
        <w:widowControl/>
        <w:spacing w:before="0" w:after="120"/>
        <w:ind w:start="720" w:end="0"/>
        <w:rPr/>
      </w:pPr>
      <w:r>
        <w:rPr/>
        <w:t>UCAP</w:t>
      </w:r>
      <w:r>
        <w:rPr>
          <w:vertAlign w:val="superscript"/>
        </w:rPr>
        <w:t>Q</w:t>
      </w:r>
      <w:r>
        <w:rPr>
          <w:vertAlign w:val="subscript"/>
        </w:rPr>
        <w:t>gm</w:t>
      </w:r>
      <w:r>
        <w:rPr/>
        <w:t xml:space="preserve"> = (1-EFOR</w:t>
      </w:r>
      <w:r>
        <w:rPr>
          <w:vertAlign w:val="subscript"/>
        </w:rPr>
        <w:t>Dgm</w:t>
      </w:r>
      <w:r>
        <w:rPr/>
        <w:t>) DMNC</w:t>
      </w:r>
      <w:r>
        <w:rPr>
          <w:vertAlign w:val="subscript"/>
        </w:rPr>
        <w:t>gm</w:t>
      </w:r>
    </w:p>
    <w:p>
      <w:pPr>
        <w:pStyle w:val="HeadingBody2"/>
        <w:widowControl/>
        <w:ind w:start="709" w:end="0"/>
        <w:rPr>
          <w:u w:val="single"/>
        </w:rPr>
      </w:pPr>
      <w:r>
        <w:rPr>
          <w:u w:val="single"/>
        </w:rPr>
        <w:t>where:</w:t>
      </w:r>
    </w:p>
    <w:p>
      <w:pPr>
        <w:pStyle w:val="HeadingBody2"/>
        <w:widowControl/>
        <w:ind w:start="709" w:end="0"/>
        <w:jc w:val="both"/>
        <w:rPr/>
      </w:pPr>
      <w:r>
        <w:rPr>
          <w:i/>
          <w:iCs/>
        </w:rPr>
        <w:t>UCAP</w:t>
      </w:r>
      <w:r>
        <w:rPr>
          <w:i/>
          <w:iCs/>
          <w:vertAlign w:val="superscript"/>
        </w:rPr>
        <w:t>Q</w:t>
      </w:r>
      <w:r>
        <w:rPr>
          <w:i/>
          <w:iCs/>
          <w:vertAlign w:val="subscript"/>
        </w:rPr>
        <w:t>gm</w:t>
      </w:r>
      <w:r>
        <w:rPr/>
        <w:t xml:space="preserve"> is the amount of Unforced Capacity that supplier </w:t>
      </w:r>
      <w:r>
        <w:rPr>
          <w:i/>
          <w:iCs/>
        </w:rPr>
        <w:t>g</w:t>
      </w:r>
      <w:r>
        <w:rPr/>
        <w:t xml:space="preserve"> is qualified to provide in month </w:t>
      </w:r>
      <w:r>
        <w:rPr>
          <w:i/>
          <w:iCs/>
        </w:rPr>
        <w:t>m</w:t>
      </w:r>
      <w:r>
        <w:rPr/>
        <w:t>;</w:t>
      </w:r>
    </w:p>
    <w:p>
      <w:pPr>
        <w:pStyle w:val="HeadingBody2"/>
        <w:widowControl/>
        <w:ind w:start="709" w:end="0"/>
        <w:jc w:val="both"/>
        <w:rPr/>
      </w:pPr>
      <w:r>
        <w:rPr>
          <w:i/>
          <w:iCs/>
        </w:rPr>
        <w:t>EFOR</w:t>
      </w:r>
      <w:r>
        <w:rPr>
          <w:i/>
          <w:iCs/>
          <w:vertAlign w:val="subscript"/>
        </w:rPr>
        <w:t>Dgm</w:t>
      </w:r>
      <w:r>
        <w:rPr/>
        <w:t xml:space="preserve"> is the Equivalent Demand Forced Outage Rate calculated for supplier </w:t>
      </w:r>
      <w:r>
        <w:rPr>
          <w:i/>
          <w:iCs/>
        </w:rPr>
        <w:t>g</w:t>
      </w:r>
      <w:r>
        <w:rPr/>
        <w:t xml:space="preserve"> that will be used to determine the amount of Unforced Capacity that the Resource will be permitted to provide in month </w:t>
      </w:r>
      <w:r>
        <w:rPr>
          <w:i/>
          <w:iCs/>
        </w:rPr>
        <w:t>m</w:t>
      </w:r>
      <w:r>
        <w:rPr/>
        <w:t xml:space="preserve">, as defined further below; and </w:t>
      </w:r>
    </w:p>
    <w:p>
      <w:pPr>
        <w:pStyle w:val="HeadingBody2"/>
        <w:widowControl/>
        <w:ind w:start="709" w:end="0"/>
        <w:jc w:val="both"/>
        <w:rPr/>
      </w:pPr>
      <w:r>
        <w:rPr>
          <w:i/>
          <w:iCs/>
        </w:rPr>
        <w:t>DMNC</w:t>
      </w:r>
      <w:r>
        <w:rPr>
          <w:i/>
          <w:iCs/>
          <w:vertAlign w:val="subscript"/>
        </w:rPr>
        <w:t>gm</w:t>
      </w:r>
      <w:r>
        <w:rPr/>
        <w:t xml:space="preserve"> is the DMNC rating for supplier </w:t>
      </w:r>
      <w:r>
        <w:rPr>
          <w:i/>
          <w:iCs/>
        </w:rPr>
        <w:t>g</w:t>
      </w:r>
      <w:r>
        <w:rPr/>
        <w:t xml:space="preserve"> which is applicable for month </w:t>
      </w:r>
      <w:r>
        <w:rPr>
          <w:i/>
          <w:iCs/>
        </w:rPr>
        <w:t>m</w:t>
      </w:r>
      <w:r>
        <w:rPr/>
        <w:t xml:space="preserve">, which shall be the most recent Summer DMNC rating for that supplier calculated in accordance with ISO procedures if month </w:t>
      </w:r>
      <w:r>
        <w:rPr>
          <w:i/>
          <w:iCs/>
        </w:rPr>
        <w:t>m</w:t>
      </w:r>
      <w:r>
        <w:rPr/>
        <w:t xml:space="preserve"> is part of a Summer Capability Period, or the most recent Winter DMNC rating for the supplier calculated in accordance with ISO procedures if month </w:t>
      </w:r>
      <w:r>
        <w:rPr>
          <w:i/>
          <w:iCs/>
        </w:rPr>
        <w:t>m</w:t>
      </w:r>
      <w:r>
        <w:rPr/>
        <w:t xml:space="preserve"> is part of a Winter Capability Period, as of the close of business on the last business day preceding the Monthly Installed Capacity Auction that is conducted during the month preceding month </w:t>
      </w:r>
      <w:r>
        <w:rPr>
          <w:i/>
          <w:iCs/>
        </w:rPr>
        <w:t>m</w:t>
      </w:r>
      <w:r>
        <w:rPr/>
        <w:t>.</w:t>
      </w:r>
    </w:p>
    <w:p>
      <w:pPr>
        <w:pStyle w:val="HeadingBody2"/>
        <w:widowControl/>
        <w:ind w:start="709" w:end="0"/>
        <w:jc w:val="both"/>
        <w:rPr/>
      </w:pPr>
      <w:r>
        <w:rPr/>
        <w:t>A rolling, cumulative, 12-month EFOR</w:t>
      </w:r>
      <w:r>
        <w:rPr>
          <w:vertAlign w:val="subscript"/>
        </w:rPr>
        <w:t>D</w:t>
      </w:r>
      <w:r>
        <w:rPr/>
        <w:t xml:space="preserve"> will be calculated for each Resource that submits GADS Data using the GADS reporting format in Attachment K.  The EFOR</w:t>
      </w:r>
      <w:r>
        <w:rPr>
          <w:vertAlign w:val="subscript"/>
        </w:rPr>
        <w:t>D</w:t>
      </w:r>
      <w:r>
        <w:rPr/>
        <w:t xml:space="preserve"> for month (m) will be based on GADS Date for months, m-14, through and including month, m-3.  (For example, EFOR</w:t>
      </w:r>
      <w:r>
        <w:rPr>
          <w:vertAlign w:val="subscript"/>
        </w:rPr>
        <w:t>D</w:t>
      </w:r>
      <w:r>
        <w:rPr/>
        <w:t xml:space="preserve"> for August will be based on data submitted for June of the prior year through May of the current year.)</w:t>
      </w:r>
    </w:p>
    <w:p>
      <w:pPr>
        <w:pStyle w:val="HeadingBody2"/>
        <w:widowControl/>
        <w:ind w:start="709" w:end="0"/>
        <w:rPr>
          <w:sz w:val="20"/>
          <w:szCs w:val="20"/>
        </w:rPr>
      </w:pPr>
      <w:r>
        <w:rPr>
          <w:sz w:val="20"/>
          <w:szCs w:val="20"/>
        </w:rPr>
      </w:r>
      <m:oMathPara xmlns:m="http://schemas.openxmlformats.org/officeDocument/2006/math">
        <m:oMathParaPr>
          <m:jc m:val="left"/>
        </m:oMathParaPr>
        <m:oMath>
          <m:r>
            <m:rPr>
              <m:lit/>
              <m:nor/>
            </m:rPr>
            <m:t xml:space="preserve">EFOR</m:t>
          </m:r>
          <m:r>
            <m:rPr>
              <m:lit/>
              <m:nor/>
            </m:rPr>
            <m:t xml:space="preserve">Dgm</m:t>
          </m:r>
          <m:r>
            <m:rPr>
              <m:lit/>
              <m:nor/>
            </m:rPr>
            <m:t xml:space="preserve"> = </m:t>
          </m:r>
          <m:f>
            <m:num>
              <m:r>
                <m:rPr>
                  <m:lit/>
                  <m:nor/>
                </m:rPr>
                <m:t xml:space="preserve">IST</m:t>
              </m:r>
              <m:r>
                <m:rPr>
                  <m:lit/>
                  <m:nor/>
                </m:rPr>
                <m:t xml:space="preserve">ge</m:t>
              </m:r>
            </m:num>
            <m:den>
              <m:r>
                <m:rPr>
                  <m:lit/>
                  <m:nor/>
                </m:rPr>
                <m:t xml:space="preserve">12</m:t>
              </m:r>
            </m:den>
          </m:f>
          <m:r>
            <m:t xml:space="preserve">´</m:t>
          </m:r>
          <m:f>
            <m:num>
              <m:r>
                <m:t xml:space="preserve">f</m:t>
              </m:r>
              <m:r>
                <m:rPr>
                  <m:lit/>
                  <m:nor/>
                </m:rPr>
                <m:t xml:space="preserve">fgbe</m:t>
              </m:r>
              <m:r>
                <m:rPr>
                  <m:lit/>
                  <m:nor/>
                </m:rPr>
                <m:t xml:space="preserve">FOH</m:t>
              </m:r>
              <m:r>
                <m:rPr>
                  <m:lit/>
                  <m:nor/>
                </m:rPr>
                <m:t xml:space="preserve">gbe</m:t>
              </m:r>
              <m:r>
                <m:rPr>
                  <m:lit/>
                  <m:nor/>
                </m:rPr>
                <m:t xml:space="preserve"> + f</m:t>
              </m:r>
              <m:r>
                <m:rPr>
                  <m:lit/>
                  <m:nor/>
                </m:rPr>
                <m:t xml:space="preserve">pgbe</m:t>
              </m:r>
              <m:r>
                <m:t xml:space="preserve">(</m:t>
              </m:r>
              <m:r>
                <m:rPr>
                  <m:lit/>
                  <m:nor/>
                </m:rPr>
                <m:t xml:space="preserve">EFOH</m:t>
              </m:r>
              <m:r>
                <m:rPr>
                  <m:lit/>
                  <m:nor/>
                </m:rPr>
                <m:t xml:space="preserve">gbe</m:t>
              </m:r>
              <m:r>
                <m:rPr>
                  <m:lit/>
                  <m:nor/>
                </m:rPr>
                <m:t xml:space="preserve"> - FOH</m:t>
              </m:r>
              <m:r>
                <m:rPr>
                  <m:lit/>
                  <m:nor/>
                </m:rPr>
                <m:t xml:space="preserve">gbe</m:t>
              </m:r>
              <m:r>
                <m:t xml:space="preserve">)</m:t>
              </m:r>
            </m:num>
            <m:den>
              <m:r>
                <m:t xml:space="preserve">(</m:t>
              </m:r>
              <m:r>
                <m:rPr>
                  <m:lit/>
                  <m:nor/>
                </m:rPr>
                <m:t xml:space="preserve">SH</m:t>
              </m:r>
              <m:r>
                <m:rPr>
                  <m:lit/>
                  <m:nor/>
                </m:rPr>
                <m:t xml:space="preserve">gbe</m:t>
              </m:r>
              <m:r>
                <m:rPr>
                  <m:lit/>
                  <m:nor/>
                </m:rPr>
                <m:t xml:space="preserve"> + f</m:t>
              </m:r>
              <m:r>
                <m:rPr>
                  <m:lit/>
                  <m:nor/>
                </m:rPr>
                <m:t xml:space="preserve">fgbe</m:t>
              </m:r>
              <m:r>
                <m:rPr>
                  <m:lit/>
                  <m:nor/>
                </m:rPr>
                <m:t xml:space="preserve">FOH</m:t>
              </m:r>
              <m:r>
                <m:rPr>
                  <m:lit/>
                  <m:nor/>
                </m:rPr>
                <m:t xml:space="preserve">gbe</m:t>
              </m:r>
              <m:r>
                <m:t xml:space="preserve">)</m:t>
              </m:r>
            </m:den>
          </m:f>
          <m:r>
            <m:rPr>
              <m:lit/>
              <m:nor/>
            </m:rPr>
            <m:t xml:space="preserve"> + </m:t>
          </m:r>
          <m:d>
            <m:dPr>
              <m:begChr m:val="("/>
              <m:endChr m:val=")"/>
            </m:dPr>
            <m:e>
              <m:r>
                <m:rPr>
                  <m:lit/>
                  <m:nor/>
                </m:rPr>
                <m:t xml:space="preserve">1-</m:t>
              </m:r>
              <m:f>
                <m:num>
                  <m:r>
                    <m:rPr>
                      <m:lit/>
                      <m:nor/>
                    </m:rPr>
                    <m:t xml:space="preserve">IST</m:t>
                  </m:r>
                  <m:r>
                    <m:rPr>
                      <m:lit/>
                      <m:nor/>
                    </m:rPr>
                    <m:t xml:space="preserve">ge</m:t>
                  </m:r>
                </m:num>
                <m:den>
                  <m:r>
                    <m:rPr>
                      <m:lit/>
                      <m:nor/>
                    </m:rPr>
                    <m:t xml:space="preserve">12</m:t>
                  </m:r>
                </m:den>
              </m:f>
            </m:e>
          </m:d>
          <m:r>
            <m:rPr>
              <m:lit/>
              <m:nor/>
            </m:rPr>
            <m:t xml:space="preserve">CEFOR</m:t>
          </m:r>
          <m:r>
            <m:rPr>
              <m:lit/>
              <m:nor/>
            </m:rPr>
            <m:t xml:space="preserve">Dg</m:t>
          </m:r>
        </m:oMath>
      </m:oMathPara>
    </w:p>
    <w:p>
      <w:pPr>
        <w:pStyle w:val="HeadingBody2"/>
        <w:widowControl/>
        <w:ind w:start="709" w:end="0"/>
        <w:rPr/>
      </w:pPr>
      <w:r>
        <w:rPr>
          <w:u w:val="single"/>
        </w:rPr>
        <w:t>where f</w:t>
      </w:r>
      <w:r>
        <w:rPr>
          <w:u w:val="single"/>
          <w:vertAlign w:val="subscript"/>
        </w:rPr>
        <w:t>fgbe</w:t>
      </w:r>
      <w:r>
        <w:rPr>
          <w:u w:val="single"/>
        </w:rPr>
        <w:t xml:space="preserve"> and f</w:t>
      </w:r>
      <w:r>
        <w:rPr>
          <w:u w:val="single"/>
          <w:vertAlign w:val="subscript"/>
        </w:rPr>
        <w:t>pgbe</w:t>
      </w:r>
      <w:r>
        <w:rPr>
          <w:u w:val="single"/>
        </w:rPr>
        <w:t xml:space="preserve"> are further defined below and:</w:t>
      </w:r>
    </w:p>
    <w:p>
      <w:pPr>
        <w:pStyle w:val="BodyText"/>
        <w:widowControl/>
        <w:ind w:hanging="0" w:start="709" w:end="0"/>
        <w:jc w:val="both"/>
        <w:rPr/>
      </w:pPr>
      <w:r>
        <w:rPr>
          <w:i/>
          <w:iCs/>
        </w:rPr>
        <w:t>EFOR</w:t>
      </w:r>
      <w:r>
        <w:rPr>
          <w:i/>
          <w:iCs/>
          <w:vertAlign w:val="subscript"/>
        </w:rPr>
        <w:t>Dgm</w:t>
      </w:r>
      <w:r>
        <w:rPr/>
        <w:t xml:space="preserve"> as above, is the Equivalent Demand Forced Outage Rate calculated for Resource </w:t>
      </w:r>
      <w:r>
        <w:rPr>
          <w:i/>
          <w:iCs/>
        </w:rPr>
        <w:t>g</w:t>
      </w:r>
      <w:r>
        <w:rPr/>
        <w:t xml:space="preserve"> that will be used to determine the amount of Unforced Capacity that Resource will be permitted to provide in month </w:t>
      </w:r>
      <w:r>
        <w:rPr>
          <w:i/>
          <w:iCs/>
        </w:rPr>
        <w:t>m</w:t>
      </w:r>
      <w:r>
        <w:rPr/>
        <w:t>;</w:t>
      </w:r>
    </w:p>
    <w:p>
      <w:pPr>
        <w:pStyle w:val="BodyText"/>
        <w:widowControl/>
        <w:ind w:hanging="0" w:start="709" w:end="0"/>
        <w:jc w:val="both"/>
        <w:rPr/>
      </w:pPr>
      <w:r>
        <w:rPr>
          <w:i/>
          <w:iCs/>
        </w:rPr>
        <w:t>IST</w:t>
      </w:r>
      <w:r>
        <w:rPr>
          <w:i/>
          <w:iCs/>
          <w:vertAlign w:val="subscript"/>
        </w:rPr>
        <w:t>ge</w:t>
      </w:r>
      <w:r>
        <w:rPr/>
        <w:t xml:space="preserve"> is the number of months that Resource </w:t>
      </w:r>
      <w:r>
        <w:rPr>
          <w:i/>
          <w:iCs/>
        </w:rPr>
        <w:t>g</w:t>
      </w:r>
      <w:r>
        <w:rPr/>
        <w:t xml:space="preserve"> had been in service as of time </w:t>
      </w:r>
      <w:r>
        <w:rPr>
          <w:i/>
          <w:iCs/>
        </w:rPr>
        <w:t>e</w:t>
      </w:r>
      <w:r>
        <w:rPr/>
        <w:t xml:space="preserve"> (0 if generator </w:t>
      </w:r>
      <w:r>
        <w:rPr>
          <w:i/>
          <w:iCs/>
        </w:rPr>
        <w:t>g</w:t>
      </w:r>
      <w:r>
        <w:rPr/>
        <w:t xml:space="preserve"> was not in service as of time </w:t>
      </w:r>
      <w:r>
        <w:rPr>
          <w:i/>
          <w:iCs/>
        </w:rPr>
        <w:t>e</w:t>
      </w:r>
      <w:r>
        <w:rPr/>
        <w:t xml:space="preserve">; 12 if Resource </w:t>
      </w:r>
      <w:r>
        <w:rPr>
          <w:i/>
          <w:iCs/>
        </w:rPr>
        <w:t>g</w:t>
      </w:r>
      <w:r>
        <w:rPr/>
        <w:t xml:space="preserve"> was in service from months </w:t>
      </w:r>
      <w:r>
        <w:rPr>
          <w:i/>
          <w:iCs/>
        </w:rPr>
        <w:t>m</w:t>
      </w:r>
      <w:r>
        <w:rPr/>
        <w:t xml:space="preserve">-14 through month </w:t>
      </w:r>
      <w:r>
        <w:rPr>
          <w:i/>
          <w:iCs/>
        </w:rPr>
        <w:t>m</w:t>
      </w:r>
      <w:r>
        <w:rPr/>
        <w:t>-3);</w:t>
      </w:r>
    </w:p>
    <w:p>
      <w:pPr>
        <w:pStyle w:val="BodyText"/>
        <w:widowControl/>
        <w:ind w:hanging="0" w:start="709" w:end="0"/>
        <w:jc w:val="both"/>
        <w:rPr/>
      </w:pPr>
      <w:r>
        <w:rPr>
          <w:i/>
          <w:iCs/>
        </w:rPr>
        <w:t>FOH</w:t>
      </w:r>
      <w:r>
        <w:rPr>
          <w:i/>
          <w:iCs/>
          <w:vertAlign w:val="subscript"/>
        </w:rPr>
        <w:t xml:space="preserve">gbe </w:t>
      </w:r>
      <w:r>
        <w:rPr/>
        <w:t xml:space="preserve">is the sum of all Full Forced Outage Hours reported for Resource </w:t>
      </w:r>
      <w:r>
        <w:rPr>
          <w:i/>
          <w:iCs/>
        </w:rPr>
        <w:t>g</w:t>
      </w:r>
      <w:r>
        <w:rPr/>
        <w:t xml:space="preserve"> for the period beginning at time </w:t>
      </w:r>
      <w:r>
        <w:rPr>
          <w:i/>
          <w:iCs/>
        </w:rPr>
        <w:t>b</w:t>
      </w:r>
      <w:r>
        <w:rPr/>
        <w:t xml:space="preserve"> and ending at time </w:t>
      </w:r>
      <w:r>
        <w:rPr>
          <w:i/>
          <w:iCs/>
        </w:rPr>
        <w:t>e</w:t>
      </w:r>
      <w:r>
        <w:rPr/>
        <w:t>.  The data are the GADS Data submitted in accordance with Attachment K, Performance Record 02, columns 40-43 and Event Record 01, NERC Event Types U1, U2, U3, and SF;</w:t>
      </w:r>
    </w:p>
    <w:p>
      <w:pPr>
        <w:pStyle w:val="Normal"/>
        <w:widowControl/>
        <w:spacing w:lineRule="auto" w:line="288" w:before="0" w:after="120"/>
        <w:ind w:start="720" w:end="0"/>
        <w:jc w:val="both"/>
        <w:rPr/>
      </w:pPr>
      <w:r>
        <w:rPr>
          <w:i/>
          <w:iCs/>
        </w:rPr>
        <w:t>EFOH</w:t>
      </w:r>
      <w:r>
        <w:rPr>
          <w:i/>
          <w:iCs/>
          <w:vertAlign w:val="subscript"/>
        </w:rPr>
        <w:t xml:space="preserve">gbe </w:t>
      </w:r>
      <w:r>
        <w:rPr/>
        <w:t xml:space="preserve">is the sum of all Equivalent Full Forced Outage Hours reported for Resource </w:t>
      </w:r>
      <w:r>
        <w:rPr>
          <w:i/>
          <w:iCs/>
        </w:rPr>
        <w:t>g</w:t>
      </w:r>
      <w:r>
        <w:rPr/>
        <w:t xml:space="preserve"> for the period beginning at time </w:t>
      </w:r>
      <w:r>
        <w:rPr>
          <w:i/>
          <w:iCs/>
        </w:rPr>
        <w:t>b</w:t>
      </w:r>
      <w:r>
        <w:rPr/>
        <w:t xml:space="preserve"> and ending at time </w:t>
      </w:r>
      <w:r>
        <w:rPr>
          <w:i/>
          <w:iCs/>
        </w:rPr>
        <w:t>e</w:t>
      </w:r>
      <w:r>
        <w:rPr/>
        <w:t>.  The data are the GADS Data submitted in accordance with Attachment K for NERC Event Types U1, U2, U3, D1, D2, D3 and SF, such that:</w:t>
      </w:r>
    </w:p>
    <w:p>
      <w:pPr>
        <w:pStyle w:val="Normal"/>
        <w:widowControl/>
        <w:spacing w:lineRule="auto" w:line="288" w:before="0" w:after="120"/>
        <w:ind w:start="1170" w:end="0"/>
        <w:rPr/>
      </w:pPr>
      <w:r>
        <w:rPr/>
        <w:t>EFOH</w:t>
      </w:r>
      <w:r>
        <w:rPr>
          <w:vertAlign w:val="subscript"/>
        </w:rPr>
        <w:t>gbe</w:t>
      </w:r>
      <w:r>
        <w:rPr/>
        <w:t xml:space="preserve"> = </w:t>
        <w:tab/>
      </w:r>
      <w:r>
        <w:rPr>
          <w:sz w:val="20"/>
          <w:szCs w:val="20"/>
        </w:rPr>
      </w:r>
      <m:oMath xmlns:m="http://schemas.openxmlformats.org/officeDocument/2006/math"/>
      <w:r>
        <w:rPr/>
        <w:t xml:space="preserve"> </w:t>
      </w:r>
    </w:p>
    <w:p>
      <w:pPr>
        <w:pStyle w:val="Normal"/>
        <w:widowControl/>
        <w:spacing w:lineRule="auto" w:line="288" w:before="0" w:after="120"/>
        <w:ind w:start="1170" w:end="0"/>
        <w:rPr/>
      </w:pPr>
      <w:r>
        <w:rPr>
          <w:u w:val="single"/>
        </w:rPr>
        <w:t>where</w:t>
      </w:r>
      <w:r>
        <w:rPr/>
        <w:t>:</w:t>
      </w:r>
    </w:p>
    <w:p>
      <w:pPr>
        <w:pStyle w:val="Normal"/>
        <w:widowControl/>
        <w:spacing w:lineRule="auto" w:line="288" w:before="0" w:after="120"/>
        <w:ind w:start="1170" w:end="0"/>
        <w:jc w:val="both"/>
        <w:rPr/>
      </w:pPr>
      <w:r>
        <w:rPr>
          <w:i/>
          <w:iCs/>
        </w:rPr>
        <w:t>OUT</w:t>
      </w:r>
      <w:r>
        <w:rPr>
          <w:i/>
          <w:iCs/>
          <w:vertAlign w:val="subscript"/>
        </w:rPr>
        <w:t>gbe</w:t>
      </w:r>
      <w:r>
        <w:rPr/>
        <w:t xml:space="preserve"> is the set of outages for Resource </w:t>
      </w:r>
      <w:r>
        <w:rPr>
          <w:i/>
          <w:iCs/>
        </w:rPr>
        <w:t>g</w:t>
      </w:r>
      <w:r>
        <w:rPr/>
        <w:t xml:space="preserve"> during the period beginning at time </w:t>
      </w:r>
      <w:r>
        <w:rPr>
          <w:i/>
          <w:iCs/>
        </w:rPr>
        <w:t>b</w:t>
      </w:r>
      <w:r>
        <w:rPr/>
        <w:t xml:space="preserve"> and ending at time </w:t>
      </w:r>
      <w:r>
        <w:rPr>
          <w:i/>
          <w:iCs/>
        </w:rPr>
        <w:t>e</w:t>
      </w:r>
      <w:r>
        <w:rPr/>
        <w:t>;</w:t>
      </w:r>
    </w:p>
    <w:p>
      <w:pPr>
        <w:pStyle w:val="Normal"/>
        <w:widowControl/>
        <w:spacing w:lineRule="auto" w:line="288" w:before="0" w:after="120"/>
        <w:ind w:start="1170" w:end="0"/>
        <w:jc w:val="both"/>
        <w:rPr/>
      </w:pPr>
      <w:r>
        <w:rPr>
          <w:i/>
          <w:iCs/>
        </w:rPr>
        <w:t>NDC</w:t>
      </w:r>
      <w:r>
        <w:rPr>
          <w:i/>
          <w:iCs/>
          <w:vertAlign w:val="subscript"/>
        </w:rPr>
        <w:t>gi</w:t>
      </w:r>
      <w:r>
        <w:rPr/>
        <w:t xml:space="preserve"> is the Net Dependable Capacity for Resource </w:t>
      </w:r>
      <w:r>
        <w:rPr>
          <w:i/>
          <w:iCs/>
        </w:rPr>
        <w:t>g</w:t>
      </w:r>
      <w:r>
        <w:rPr/>
        <w:t xml:space="preserve"> applicable for outage </w:t>
      </w:r>
      <w:r>
        <w:rPr>
          <w:i/>
          <w:iCs/>
        </w:rPr>
        <w:t>i</w:t>
      </w:r>
      <w:r>
        <w:rPr/>
        <w:t>, submitted in accordance with Attachment F, Performance Record 01, columns 35-38;</w:t>
      </w:r>
    </w:p>
    <w:p>
      <w:pPr>
        <w:pStyle w:val="Normal"/>
        <w:widowControl/>
        <w:spacing w:lineRule="auto" w:line="288" w:before="0" w:after="120"/>
        <w:ind w:start="1170" w:end="0"/>
        <w:jc w:val="both"/>
        <w:rPr/>
      </w:pPr>
      <w:r>
        <w:rPr>
          <w:i/>
          <w:iCs/>
        </w:rPr>
        <w:t>NAC</w:t>
      </w:r>
      <w:r>
        <w:rPr>
          <w:i/>
          <w:iCs/>
          <w:vertAlign w:val="subscript"/>
        </w:rPr>
        <w:t>gi</w:t>
      </w:r>
      <w:r>
        <w:rPr/>
        <w:t xml:space="preserve"> is the Net Available Capacity for Resource </w:t>
      </w:r>
      <w:r>
        <w:rPr>
          <w:i/>
          <w:iCs/>
        </w:rPr>
        <w:t>g</w:t>
      </w:r>
      <w:r>
        <w:rPr/>
        <w:t xml:space="preserve">, applicable for outage </w:t>
      </w:r>
      <w:r>
        <w:rPr>
          <w:i/>
          <w:iCs/>
        </w:rPr>
        <w:t>i</w:t>
      </w:r>
      <w:r>
        <w:rPr/>
        <w:t>, submitted in accordance with Attachment K, Event Record 01, columns 60-63; and</w:t>
      </w:r>
    </w:p>
    <w:p>
      <w:pPr>
        <w:pStyle w:val="Normal"/>
        <w:widowControl/>
        <w:spacing w:lineRule="auto" w:line="288" w:before="0" w:after="120"/>
        <w:ind w:start="1170" w:end="0"/>
        <w:jc w:val="both"/>
        <w:rPr/>
      </w:pPr>
      <w:r>
        <w:rPr>
          <w:i/>
          <w:iCs/>
        </w:rPr>
        <w:t>H</w:t>
      </w:r>
      <w:r>
        <w:rPr>
          <w:i/>
          <w:iCs/>
          <w:vertAlign w:val="subscript"/>
        </w:rPr>
        <w:t>gi</w:t>
      </w:r>
      <w:r>
        <w:rPr/>
        <w:t xml:space="preserve"> is the time accumulated for Resource </w:t>
      </w:r>
      <w:r>
        <w:rPr>
          <w:i/>
          <w:iCs/>
        </w:rPr>
        <w:t>g</w:t>
      </w:r>
      <w:r>
        <w:rPr/>
        <w:t xml:space="preserve"> applicable for outage </w:t>
      </w:r>
      <w:r>
        <w:rPr>
          <w:i/>
          <w:iCs/>
        </w:rPr>
        <w:t>i</w:t>
      </w:r>
      <w:r>
        <w:rPr/>
        <w:t xml:space="preserve"> submitted in accordance with Attachment K, columns 20-27 and columns 48-55, (</w:t>
      </w:r>
      <w:r>
        <w:rPr>
          <w:i/>
          <w:iCs/>
        </w:rPr>
        <w:t>i.e.</w:t>
      </w:r>
      <w:r>
        <w:rPr/>
        <w:t>, the positive difference between the start and end of the event);</w:t>
      </w:r>
    </w:p>
    <w:p>
      <w:pPr>
        <w:pStyle w:val="BodyText"/>
        <w:widowControl/>
        <w:ind w:hanging="0" w:start="709" w:end="0"/>
        <w:jc w:val="both"/>
        <w:rPr/>
      </w:pPr>
      <w:r>
        <w:rPr>
          <w:i/>
          <w:iCs/>
        </w:rPr>
        <w:t>SH</w:t>
      </w:r>
      <w:r>
        <w:rPr>
          <w:i/>
          <w:iCs/>
          <w:vertAlign w:val="subscript"/>
        </w:rPr>
        <w:t>gbe</w:t>
      </w:r>
      <w:r>
        <w:rPr>
          <w:vertAlign w:val="subscript"/>
        </w:rPr>
        <w:t xml:space="preserve"> </w:t>
      </w:r>
      <w:r>
        <w:rPr/>
        <w:t xml:space="preserve">is the sum of all Service Hours reported for Resource </w:t>
      </w:r>
      <w:r>
        <w:rPr>
          <w:i/>
          <w:iCs/>
        </w:rPr>
        <w:t>g</w:t>
      </w:r>
      <w:r>
        <w:rPr/>
        <w:t xml:space="preserve"> for the period beginning at time </w:t>
      </w:r>
      <w:r>
        <w:rPr>
          <w:i/>
          <w:iCs/>
        </w:rPr>
        <w:t>b</w:t>
      </w:r>
      <w:r>
        <w:rPr/>
        <w:t xml:space="preserve"> and ending at time </w:t>
      </w:r>
      <w:r>
        <w:rPr>
          <w:i/>
          <w:iCs/>
        </w:rPr>
        <w:t>e</w:t>
      </w:r>
      <w:r>
        <w:rPr/>
        <w:t xml:space="preserve"> in accordance with the GADS Data submitted in accordance with Attachment K, Performance Record 02, columns 16-19;</w:t>
      </w:r>
    </w:p>
    <w:p>
      <w:pPr>
        <w:pStyle w:val="BodyText"/>
        <w:widowControl/>
        <w:ind w:hanging="0" w:start="709" w:end="0"/>
        <w:jc w:val="both"/>
        <w:rPr/>
      </w:pPr>
      <w:r>
        <w:rPr>
          <w:i/>
          <w:iCs/>
        </w:rPr>
        <w:t>e</w:t>
      </w:r>
      <w:r>
        <w:rPr/>
        <w:t xml:space="preserve"> is the end of the month occurring three months before month </w:t>
      </w:r>
      <w:r>
        <w:rPr>
          <w:i/>
          <w:iCs/>
        </w:rPr>
        <w:t>m</w:t>
      </w:r>
      <w:r>
        <w:rPr/>
        <w:t xml:space="preserve">, (e.g., if month </w:t>
      </w:r>
      <w:r>
        <w:rPr>
          <w:i/>
          <w:iCs/>
        </w:rPr>
        <w:t>m</w:t>
      </w:r>
      <w:r>
        <w:rPr/>
        <w:t xml:space="preserve"> is September 2001, then </w:t>
      </w:r>
      <w:r>
        <w:rPr>
          <w:i/>
          <w:iCs/>
        </w:rPr>
        <w:t>e</w:t>
      </w:r>
      <w:r>
        <w:rPr/>
        <w:t xml:space="preserve"> is the end of June 2001);</w:t>
      </w:r>
    </w:p>
    <w:p>
      <w:pPr>
        <w:pStyle w:val="BodyText"/>
        <w:widowControl/>
        <w:ind w:hanging="0" w:start="709" w:end="0"/>
        <w:jc w:val="both"/>
        <w:rPr/>
      </w:pPr>
      <w:r>
        <w:rPr>
          <w:i/>
          <w:iCs/>
        </w:rPr>
        <w:t>b</w:t>
      </w:r>
      <w:r>
        <w:rPr/>
        <w:t xml:space="preserve"> is the beginning of the month occurring 14 months before month </w:t>
      </w:r>
      <w:r>
        <w:rPr>
          <w:i/>
          <w:iCs/>
        </w:rPr>
        <w:t>m</w:t>
      </w:r>
      <w:r>
        <w:rPr/>
        <w:t xml:space="preserve">, unless the supplier had not gone into service at that time, in which case </w:t>
      </w:r>
      <w:r>
        <w:rPr>
          <w:i/>
          <w:iCs/>
        </w:rPr>
        <w:t>b</w:t>
      </w:r>
      <w:r>
        <w:rPr/>
        <w:t xml:space="preserve"> is the time at which that supplier went into service; and</w:t>
      </w:r>
    </w:p>
    <w:p>
      <w:pPr>
        <w:pStyle w:val="BodyText"/>
        <w:widowControl/>
        <w:ind w:hanging="0" w:start="709" w:end="0"/>
        <w:jc w:val="both"/>
        <w:rPr/>
      </w:pPr>
      <w:r>
        <w:rPr>
          <w:i/>
          <w:iCs/>
        </w:rPr>
        <w:t>CEFOR</w:t>
      </w:r>
      <w:r>
        <w:rPr>
          <w:i/>
          <w:iCs/>
          <w:vertAlign w:val="subscript"/>
        </w:rPr>
        <w:t>Dg</w:t>
      </w:r>
      <w:r>
        <w:rPr/>
        <w:t xml:space="preserve"> is the class-equivalent EFOR</w:t>
      </w:r>
      <w:r>
        <w:rPr>
          <w:vertAlign w:val="subscript"/>
        </w:rPr>
        <w:t>D</w:t>
      </w:r>
      <w:r>
        <w:rPr/>
        <w:t xml:space="preserve"> calculated by the ISO for suppliers of the same class as supplier </w:t>
      </w:r>
      <w:r>
        <w:rPr>
          <w:i/>
          <w:iCs/>
        </w:rPr>
        <w:t xml:space="preserve">g </w:t>
      </w:r>
      <w:r>
        <w:rPr/>
        <w:t>based on NERC class averages for similar Resources.  Where no similar Resource exists, the NYISO will estimate a value based on its best judgment, if a mutually acceptable value cannot be agreed on.</w:t>
      </w:r>
    </w:p>
    <w:p>
      <w:pPr>
        <w:pStyle w:val="BodyText"/>
        <w:widowControl/>
        <w:ind w:hanging="0" w:start="709" w:end="0"/>
        <w:rPr>
          <w:u w:val="single"/>
        </w:rPr>
      </w:pPr>
      <w:r>
        <w:rPr>
          <w:u w:val="single"/>
        </w:rPr>
        <w:t>Then:</w:t>
      </w:r>
    </w:p>
    <w:p>
      <w:pPr>
        <w:pStyle w:val="BodyText"/>
        <w:widowControl/>
        <w:ind w:hanging="0" w:start="709" w:end="0"/>
        <w:rPr>
          <w:sz w:val="20"/>
          <w:szCs w:val="20"/>
        </w:rPr>
      </w:pPr>
      <w:r>
        <w:rPr>
          <w:sz w:val="20"/>
          <w:szCs w:val="20"/>
        </w:rPr>
      </w:r>
      <m:oMathPara xmlns:m="http://schemas.openxmlformats.org/officeDocument/2006/math">
        <m:oMathParaPr>
          <m:jc m:val="left"/>
        </m:oMathParaPr>
        <m:oMath>
          <m:r>
            <m:t xml:space="preserve">f</m:t>
          </m:r>
          <m:r>
            <m:rPr>
              <m:lit/>
              <m:nor/>
            </m:rPr>
            <m:t xml:space="preserve">fgbe </m:t>
          </m:r>
          <m:r>
            <m:t xml:space="preserve">=</m:t>
          </m:r>
          <m:f>
            <m:num>
              <m:f>
                <m:num>
                  <m:r>
                    <m:t xml:space="preserve">1</m:t>
                  </m:r>
                </m:num>
                <m:den>
                  <m:r>
                    <m:t xml:space="preserve">r</m:t>
                  </m:r>
                </m:den>
              </m:f>
              <m:r>
                <m:rPr>
                  <m:lit/>
                  <m:nor/>
                </m:rPr>
                <m:t xml:space="preserve"> + </m:t>
              </m:r>
              <m:f>
                <m:num>
                  <m:r>
                    <m:t xml:space="preserve">1</m:t>
                  </m:r>
                </m:num>
                <m:den>
                  <m:r>
                    <m:t xml:space="preserve">T</m:t>
                  </m:r>
                </m:den>
              </m:f>
            </m:num>
            <m:den>
              <m:f>
                <m:num>
                  <m:r>
                    <m:t xml:space="preserve">1</m:t>
                  </m:r>
                </m:num>
                <m:den>
                  <m:r>
                    <m:t xml:space="preserve">r</m:t>
                  </m:r>
                </m:den>
              </m:f>
              <m:r>
                <m:rPr>
                  <m:lit/>
                  <m:nor/>
                </m:rPr>
                <m:t xml:space="preserve"> + </m:t>
              </m:r>
              <m:f>
                <m:num>
                  <m:r>
                    <m:t xml:space="preserve">1</m:t>
                  </m:r>
                </m:num>
                <m:den>
                  <m:r>
                    <m:t xml:space="preserve">T</m:t>
                  </m:r>
                </m:den>
              </m:f>
              <m:r>
                <m:rPr>
                  <m:lit/>
                  <m:nor/>
                </m:rPr>
                <m:t xml:space="preserve"> + </m:t>
              </m:r>
              <m:f>
                <m:num>
                  <m:r>
                    <m:t xml:space="preserve">1</m:t>
                  </m:r>
                </m:num>
                <m:den>
                  <m:r>
                    <m:t xml:space="preserve">D</m:t>
                  </m:r>
                </m:den>
              </m:f>
            </m:den>
          </m:f>
        </m:oMath>
      </m:oMathPara>
    </w:p>
    <w:p>
      <w:pPr>
        <w:pStyle w:val="BodyText"/>
        <w:widowControl/>
        <w:ind w:hanging="0" w:start="709" w:end="0"/>
        <w:rPr>
          <w:u w:val="single"/>
        </w:rPr>
      </w:pPr>
      <w:r>
        <w:rPr>
          <w:u w:val="single"/>
        </w:rPr>
        <w:t>where:</w:t>
      </w:r>
    </w:p>
    <w:p>
      <w:pPr>
        <w:pStyle w:val="BodyText"/>
        <w:widowControl/>
        <w:ind w:hanging="0" w:start="709" w:end="0"/>
        <w:jc w:val="both"/>
        <w:rPr/>
      </w:pPr>
      <w:r>
        <w:rPr>
          <w:i/>
          <w:iCs/>
        </w:rPr>
        <w:t>r</w:t>
      </w:r>
      <w:r>
        <w:rPr/>
        <w:t xml:space="preserve"> is FOH</w:t>
      </w:r>
      <w:r>
        <w:rPr>
          <w:vertAlign w:val="subscript"/>
        </w:rPr>
        <w:t>gbe</w:t>
      </w:r>
      <w:r>
        <w:rPr>
          <w:i/>
          <w:iCs/>
          <w:vertAlign w:val="subscript"/>
        </w:rPr>
        <w:t xml:space="preserve"> </w:t>
      </w:r>
      <w:r>
        <w:rPr/>
        <w:t xml:space="preserve">divided by the total number of GADS Data Forced Outages reported for the period beginning at time </w:t>
      </w:r>
      <w:r>
        <w:rPr>
          <w:i/>
          <w:iCs/>
        </w:rPr>
        <w:t>b</w:t>
      </w:r>
      <w:r>
        <w:rPr/>
        <w:t xml:space="preserve"> and ending at time </w:t>
      </w:r>
      <w:r>
        <w:rPr>
          <w:i/>
          <w:iCs/>
        </w:rPr>
        <w:t>e</w:t>
      </w:r>
      <w:r>
        <w:rPr/>
        <w:t xml:space="preserve"> in accordance with Attachment K;</w:t>
      </w:r>
    </w:p>
    <w:p>
      <w:pPr>
        <w:pStyle w:val="BodyText"/>
        <w:widowControl/>
        <w:ind w:hanging="0" w:start="709" w:end="0"/>
        <w:jc w:val="both"/>
        <w:rPr/>
      </w:pPr>
      <w:r>
        <w:rPr>
          <w:i/>
          <w:iCs/>
        </w:rPr>
        <w:t>T</w:t>
      </w:r>
      <w:r>
        <w:rPr/>
        <w:t xml:space="preserve"> is the number of Reserve Shutdown Hours (RSH</w:t>
      </w:r>
      <w:r>
        <w:rPr>
          <w:vertAlign w:val="subscript"/>
        </w:rPr>
        <w:t>gbe</w:t>
      </w:r>
      <w:r>
        <w:rPr/>
        <w:t xml:space="preserve">) divided by the number of attempted starts reported for the period beginning at time </w:t>
      </w:r>
      <w:r>
        <w:rPr>
          <w:i/>
          <w:iCs/>
        </w:rPr>
        <w:t>b</w:t>
      </w:r>
      <w:r>
        <w:rPr/>
        <w:t xml:space="preserve"> and ending at time </w:t>
      </w:r>
      <w:r>
        <w:rPr>
          <w:i/>
          <w:iCs/>
        </w:rPr>
        <w:t>e</w:t>
      </w:r>
      <w:r>
        <w:rPr/>
        <w:t xml:space="preserve"> for Resource </w:t>
      </w:r>
      <w:r>
        <w:rPr>
          <w:i/>
          <w:iCs/>
        </w:rPr>
        <w:t>g</w:t>
      </w:r>
      <w:r>
        <w:rPr/>
        <w:t>.  RSH</w:t>
      </w:r>
      <w:r>
        <w:rPr>
          <w:vertAlign w:val="subscript"/>
        </w:rPr>
        <w:t xml:space="preserve">gbe </w:t>
      </w:r>
      <w:r>
        <w:rPr/>
        <w:t xml:space="preserve">is the sum of all Reserve Shutdown Hours reported for Resource </w:t>
      </w:r>
      <w:r>
        <w:rPr>
          <w:i/>
          <w:iCs/>
        </w:rPr>
        <w:t>g</w:t>
      </w:r>
      <w:r>
        <w:rPr/>
        <w:t xml:space="preserve"> for the period beginning at time </w:t>
      </w:r>
      <w:r>
        <w:rPr>
          <w:i/>
          <w:iCs/>
        </w:rPr>
        <w:t>b</w:t>
      </w:r>
      <w:r>
        <w:rPr/>
        <w:t xml:space="preserve"> and ending at time </w:t>
      </w:r>
      <w:r>
        <w:rPr>
          <w:i/>
          <w:iCs/>
        </w:rPr>
        <w:t>e</w:t>
      </w:r>
      <w:r>
        <w:rPr/>
        <w:t xml:space="preserve"> in accordance with the GADS Data submitted in accordance with Attachment K, Performance Record 02, columns 20-23; and</w:t>
      </w:r>
    </w:p>
    <w:p>
      <w:pPr>
        <w:pStyle w:val="BodyText"/>
        <w:widowControl/>
        <w:ind w:hanging="0" w:start="709" w:end="0"/>
        <w:jc w:val="both"/>
        <w:rPr/>
      </w:pPr>
      <w:r>
        <w:rPr>
          <w:i/>
          <w:iCs/>
        </w:rPr>
        <w:t>D</w:t>
      </w:r>
      <w:r>
        <w:rPr/>
        <w:t xml:space="preserve"> is the number of Service Hours (SH</w:t>
      </w:r>
      <w:r>
        <w:rPr>
          <w:vertAlign w:val="subscript"/>
        </w:rPr>
        <w:t>gbe</w:t>
      </w:r>
      <w:r>
        <w:rPr/>
        <w:t xml:space="preserve">) divided by the number of successful starts reported for the period beginning at time b and ending at time </w:t>
      </w:r>
      <w:r>
        <w:rPr>
          <w:i/>
          <w:iCs/>
        </w:rPr>
        <w:t>e</w:t>
      </w:r>
      <w:r>
        <w:rPr/>
        <w:t xml:space="preserve"> for Resource </w:t>
      </w:r>
      <w:r>
        <w:rPr>
          <w:i/>
          <w:iCs/>
        </w:rPr>
        <w:t>g</w:t>
      </w:r>
      <w:r>
        <w:rPr/>
        <w:t>; and</w:t>
      </w:r>
    </w:p>
    <w:p>
      <w:pPr>
        <w:pStyle w:val="BodyText"/>
        <w:widowControl/>
        <w:ind w:hanging="0" w:start="709" w:end="0"/>
        <w:rPr>
          <w:sz w:val="20"/>
          <w:szCs w:val="20"/>
        </w:rPr>
      </w:pPr>
      <w:r>
        <w:rPr>
          <w:sz w:val="20"/>
          <w:szCs w:val="20"/>
        </w:rPr>
      </w:r>
      <m:oMathPara xmlns:m="http://schemas.openxmlformats.org/officeDocument/2006/math">
        <m:oMathParaPr>
          <m:jc m:val="left"/>
        </m:oMathParaPr>
        <m:oMath>
          <m:r>
            <m:t xml:space="preserve">f</m:t>
          </m:r>
          <m:r>
            <m:rPr>
              <m:lit/>
              <m:nor/>
            </m:rPr>
            <m:t xml:space="preserve">pgbe</m:t>
          </m:r>
          <m:r>
            <m:rPr>
              <m:lit/>
              <m:nor/>
            </m:rPr>
            <m:t xml:space="preserve"> = </m:t>
          </m:r>
          <m:f>
            <m:num>
              <m:r>
                <m:rPr>
                  <m:lit/>
                  <m:nor/>
                </m:rPr>
                <m:t xml:space="preserve">SH</m:t>
              </m:r>
              <m:r>
                <m:rPr>
                  <m:lit/>
                  <m:nor/>
                </m:rPr>
                <m:t xml:space="preserve">gbe</m:t>
              </m:r>
            </m:num>
            <m:den>
              <m:r>
                <m:rPr>
                  <m:lit/>
                  <m:nor/>
                </m:rPr>
                <m:t xml:space="preserve">AH</m:t>
              </m:r>
              <m:r>
                <m:rPr>
                  <m:lit/>
                  <m:nor/>
                </m:rPr>
                <m:t xml:space="preserve">gbe</m:t>
              </m:r>
            </m:den>
          </m:f>
        </m:oMath>
      </m:oMathPara>
    </w:p>
    <w:p>
      <w:pPr>
        <w:pStyle w:val="BodyText"/>
        <w:widowControl/>
        <w:ind w:hanging="0" w:start="709" w:end="0"/>
        <w:rPr>
          <w:u w:val="single"/>
        </w:rPr>
      </w:pPr>
      <w:r>
        <w:rPr>
          <w:u w:val="single"/>
        </w:rPr>
        <w:t>where:</w:t>
      </w:r>
    </w:p>
    <w:p>
      <w:pPr>
        <w:pStyle w:val="BodyText"/>
        <w:widowControl/>
        <w:ind w:hanging="0" w:start="709" w:end="0"/>
        <w:jc w:val="both"/>
        <w:rPr/>
      </w:pPr>
      <w:r>
        <w:rPr/>
        <w:t>AH</w:t>
      </w:r>
      <w:r>
        <w:rPr>
          <w:vertAlign w:val="subscript"/>
        </w:rPr>
        <w:t>gbe</w:t>
      </w:r>
      <w:r>
        <w:rPr/>
        <w:t xml:space="preserve"> is the sum of all Available Hours reported for Resource </w:t>
      </w:r>
      <w:r>
        <w:rPr>
          <w:i/>
          <w:iCs/>
        </w:rPr>
        <w:t>g</w:t>
      </w:r>
      <w:r>
        <w:rPr/>
        <w:t xml:space="preserve"> for the period beginning at time </w:t>
      </w:r>
      <w:r>
        <w:rPr>
          <w:i/>
          <w:iCs/>
        </w:rPr>
        <w:t>b</w:t>
      </w:r>
      <w:r>
        <w:rPr/>
        <w:t xml:space="preserve"> and ending at time </w:t>
      </w:r>
      <w:r>
        <w:rPr>
          <w:i/>
          <w:iCs/>
        </w:rPr>
        <w:t>e</w:t>
      </w:r>
      <w:r>
        <w:rPr/>
        <w:t xml:space="preserve"> in accordance with GADS Data submitted under Attachment K, Performance Record 02, Columns 32-35.</w:t>
      </w:r>
    </w:p>
    <w:p>
      <w:pPr>
        <w:pStyle w:val="sn2"/>
        <w:widowControl/>
        <w:rPr/>
      </w:pPr>
      <w:r>
        <w:rPr/>
        <w:t>These equations shall be modified when necessary as follows in order to avoid dividing by zero:</w:t>
      </w:r>
    </w:p>
    <w:p>
      <w:pPr>
        <w:pStyle w:val="Normal"/>
        <w:widowControl/>
        <w:spacing w:before="0" w:after="120"/>
        <w:ind w:start="720" w:end="0"/>
        <w:rPr/>
      </w:pPr>
      <w:r>
        <w:rPr/>
        <w:t>If RSH = 0 (&lt;1), set f</w:t>
      </w:r>
      <w:r>
        <w:rPr>
          <w:vertAlign w:val="subscript"/>
        </w:rPr>
        <w:t>f</w:t>
      </w:r>
      <w:r>
        <w:rPr/>
        <w:t xml:space="preserve"> = 1;</w:t>
      </w:r>
    </w:p>
    <w:p>
      <w:pPr>
        <w:pStyle w:val="Normal"/>
        <w:widowControl/>
        <w:spacing w:before="0" w:after="120"/>
        <w:ind w:start="720" w:end="0"/>
        <w:rPr/>
      </w:pPr>
      <w:r>
        <w:rPr/>
        <w:t>If SH = 0, set f</w:t>
      </w:r>
      <w:r>
        <w:rPr>
          <w:vertAlign w:val="subscript"/>
        </w:rPr>
        <w:t>f</w:t>
      </w:r>
      <w:r>
        <w:rPr/>
        <w:t xml:space="preserve"> = 1;</w:t>
      </w:r>
    </w:p>
    <w:p>
      <w:pPr>
        <w:pStyle w:val="Normal"/>
        <w:widowControl/>
        <w:spacing w:before="0" w:after="120"/>
        <w:ind w:start="720" w:end="0"/>
        <w:rPr/>
      </w:pPr>
      <w:r>
        <w:rPr/>
        <w:t>If FOH = 0, set 1/r = 0 and calculate f</w:t>
      </w:r>
      <w:r>
        <w:rPr>
          <w:vertAlign w:val="subscript"/>
        </w:rPr>
        <w:t>f</w:t>
      </w:r>
      <w:r>
        <w:rPr/>
        <w:t xml:space="preserve"> per its equation; and</w:t>
      </w:r>
    </w:p>
    <w:p>
      <w:pPr>
        <w:pStyle w:val="Normal"/>
        <w:widowControl/>
        <w:spacing w:before="0" w:after="120"/>
        <w:ind w:start="720" w:end="0"/>
        <w:rPr/>
      </w:pPr>
      <w:r>
        <w:rPr/>
        <w:t>If AH = 0, set f</w:t>
      </w:r>
      <w:r>
        <w:rPr>
          <w:vertAlign w:val="subscript"/>
        </w:rPr>
        <w:t>p</w:t>
      </w:r>
      <w:r>
        <w:rPr/>
        <w:t xml:space="preserve"> =1.</w:t>
      </w:r>
    </w:p>
    <w:p>
      <w:pPr>
        <w:pStyle w:val="BodyText"/>
        <w:widowControl/>
        <w:rPr>
          <w:b/>
          <w:bCs/>
        </w:rPr>
      </w:pPr>
      <w:r>
        <w:rPr>
          <w:b/>
          <w:bCs/>
        </w:rPr>
        <w:t>(b)</w:t>
        <w:tab/>
        <w:t>Determining the ICE of the Amount of UCAP Supplied</w:t>
      </w:r>
    </w:p>
    <w:p>
      <w:pPr>
        <w:pStyle w:val="BodyText"/>
        <w:widowControl/>
        <w:jc w:val="both"/>
        <w:rPr/>
      </w:pPr>
      <w:r>
        <w:rPr/>
        <w:t>ICE</w:t>
      </w:r>
      <w:r>
        <w:rPr>
          <w:vertAlign w:val="subscript"/>
        </w:rPr>
        <w:t>gm</w:t>
      </w:r>
      <w:r>
        <w:rPr/>
        <w:t xml:space="preserve"> = UCAP</w:t>
      </w:r>
      <w:r>
        <w:rPr>
          <w:vertAlign w:val="superscript"/>
        </w:rPr>
        <w:t>P</w:t>
      </w:r>
      <w:r>
        <w:rPr>
          <w:vertAlign w:val="subscript"/>
        </w:rPr>
        <w:t xml:space="preserve">gm </w:t>
      </w:r>
      <w:r>
        <w:rPr/>
        <w:t>/ (1 – EFOR</w:t>
      </w:r>
      <w:r>
        <w:rPr>
          <w:vertAlign w:val="subscript"/>
        </w:rPr>
        <w:t>Dgm</w:t>
      </w:r>
      <w:r>
        <w:rPr/>
        <w:t>)</w:t>
      </w:r>
    </w:p>
    <w:p>
      <w:pPr>
        <w:pStyle w:val="HeadingBody2"/>
        <w:widowControl/>
        <w:ind w:start="709" w:end="0"/>
        <w:rPr>
          <w:u w:val="single"/>
        </w:rPr>
      </w:pPr>
      <w:r>
        <w:rPr>
          <w:u w:val="single"/>
        </w:rPr>
        <w:t>where:</w:t>
      </w:r>
    </w:p>
    <w:p>
      <w:pPr>
        <w:pStyle w:val="HeadingBody2"/>
        <w:widowControl/>
        <w:ind w:start="709" w:end="0"/>
        <w:jc w:val="both"/>
        <w:rPr/>
      </w:pPr>
      <w:r>
        <w:rPr>
          <w:i/>
          <w:iCs/>
        </w:rPr>
        <w:t>ICE</w:t>
      </w:r>
      <w:r>
        <w:rPr>
          <w:i/>
          <w:iCs/>
          <w:vertAlign w:val="subscript"/>
        </w:rPr>
        <w:t>gm</w:t>
      </w:r>
      <w:r>
        <w:rPr>
          <w:i/>
          <w:iCs/>
        </w:rPr>
        <w:t xml:space="preserve"> </w:t>
      </w:r>
      <w:r>
        <w:rPr/>
        <w:t>is the</w:t>
      </w:r>
      <w:r>
        <w:rPr>
          <w:i/>
          <w:iCs/>
        </w:rPr>
        <w:t xml:space="preserve"> </w:t>
      </w:r>
      <w:r>
        <w:rPr/>
        <w:t xml:space="preserve">Installed Capacity Equivalent of the amount of Unforced Capacity that supplier </w:t>
      </w:r>
      <w:r>
        <w:rPr>
          <w:i/>
          <w:iCs/>
        </w:rPr>
        <w:t>g</w:t>
      </w:r>
      <w:r>
        <w:rPr/>
        <w:t xml:space="preserve"> supplies in month </w:t>
      </w:r>
      <w:r>
        <w:rPr>
          <w:i/>
          <w:iCs/>
        </w:rPr>
        <w:t>m</w:t>
      </w:r>
      <w:r>
        <w:rPr/>
        <w:t>;</w:t>
      </w:r>
    </w:p>
    <w:p>
      <w:pPr>
        <w:pStyle w:val="HeadingBody2"/>
        <w:widowControl/>
        <w:ind w:start="709" w:end="0"/>
        <w:jc w:val="both"/>
        <w:rPr/>
      </w:pPr>
      <w:r>
        <w:rPr>
          <w:i/>
          <w:iCs/>
        </w:rPr>
        <w:t>UCAP</w:t>
      </w:r>
      <w:r>
        <w:rPr>
          <w:i/>
          <w:iCs/>
          <w:vertAlign w:val="superscript"/>
        </w:rPr>
        <w:t>P</w:t>
      </w:r>
      <w:r>
        <w:rPr>
          <w:i/>
          <w:iCs/>
          <w:vertAlign w:val="subscript"/>
        </w:rPr>
        <w:t>gm</w:t>
      </w:r>
      <w:r>
        <w:rPr>
          <w:vertAlign w:val="subscript"/>
        </w:rPr>
        <w:t xml:space="preserve"> </w:t>
      </w:r>
      <w:r>
        <w:rPr/>
        <w:t xml:space="preserve">is the amount of Unforced Capacity that supplier </w:t>
      </w:r>
      <w:r>
        <w:rPr>
          <w:i/>
          <w:iCs/>
        </w:rPr>
        <w:t>g</w:t>
      </w:r>
      <w:r>
        <w:rPr/>
        <w:t xml:space="preserve"> supplies in month </w:t>
      </w:r>
      <w:r>
        <w:rPr>
          <w:i/>
          <w:iCs/>
        </w:rPr>
        <w:t>m</w:t>
      </w:r>
      <w:r>
        <w:rPr/>
        <w:t>; and</w:t>
      </w:r>
    </w:p>
    <w:p>
      <w:pPr>
        <w:pStyle w:val="HeadingBody2"/>
        <w:widowControl/>
        <w:ind w:start="709" w:end="0"/>
        <w:jc w:val="both"/>
        <w:rPr/>
      </w:pPr>
      <w:r>
        <w:rPr>
          <w:i/>
          <w:iCs/>
        </w:rPr>
        <w:t>EFOR</w:t>
      </w:r>
      <w:r>
        <w:rPr>
          <w:i/>
          <w:iCs/>
          <w:vertAlign w:val="subscript"/>
        </w:rPr>
        <w:t>Dgm</w:t>
      </w:r>
      <w:r>
        <w:rPr/>
        <w:t xml:space="preserve"> as above, is the Equivalent Demand Forced Outage Rate calculated for Resource </w:t>
      </w:r>
      <w:r>
        <w:rPr>
          <w:i/>
          <w:iCs/>
        </w:rPr>
        <w:t>g</w:t>
      </w:r>
      <w:r>
        <w:rPr/>
        <w:t xml:space="preserve"> that will be used to determine the amount of Unforced Capacity that Resource will be permitted to provide in month </w:t>
      </w:r>
      <w:r>
        <w:rPr>
          <w:i/>
          <w:iCs/>
        </w:rPr>
        <w:t>m</w:t>
      </w:r>
      <w:r>
        <w:rPr/>
        <w:t>.</w:t>
      </w:r>
    </w:p>
    <w:p>
      <w:pPr>
        <w:pStyle w:val="BodyText"/>
        <w:widowControl/>
        <w:rPr>
          <w:b/>
          <w:bCs/>
        </w:rPr>
      </w:pPr>
      <w:r>
        <w:rPr>
          <w:b/>
          <w:bCs/>
        </w:rPr>
        <w:t>3.2</w:t>
        <w:tab/>
        <w:t>UCAP based on equivalent GADS Data (capacity factor method)</w:t>
      </w:r>
    </w:p>
    <w:p>
      <w:pPr>
        <w:pStyle w:val="BodyText"/>
        <w:widowControl/>
        <w:rPr>
          <w:b/>
          <w:bCs/>
        </w:rPr>
      </w:pPr>
      <w:r>
        <w:rPr>
          <w:b/>
          <w:bCs/>
        </w:rPr>
        <w:t>(a)</w:t>
        <w:tab/>
        <w:t>Determining the Amount of UCAP a Supplier Qualifies to Supply</w:t>
      </w:r>
    </w:p>
    <w:p>
      <w:pPr>
        <w:pStyle w:val="HeadingBody2"/>
        <w:widowControl/>
        <w:ind w:start="709" w:end="0"/>
        <w:rPr/>
      </w:pPr>
      <w:r>
        <w:rPr>
          <w:sz w:val="20"/>
          <w:szCs w:val="20"/>
        </w:rPr>
      </w:r>
      <m:oMath xmlns:m="http://schemas.openxmlformats.org/officeDocument/2006/math">
        <m:sSubSup>
          <m:e>
            <m:r>
              <m:rPr>
                <m:lit/>
                <m:nor/>
              </m:rPr>
              <m:t xml:space="preserve">UCAP</m:t>
            </m:r>
          </m:e>
          <m:sub>
            <m:r>
              <m:rPr>
                <m:lit/>
                <m:nor/>
              </m:rPr>
              <m:t xml:space="preserve">gm</m:t>
            </m:r>
          </m:sub>
          <m:sup>
            <m:r>
              <m:t xml:space="preserve">Q</m:t>
            </m:r>
          </m:sup>
        </m:sSubSup>
        <m:r>
          <m:rPr>
            <m:lit/>
            <m:nor/>
          </m:rPr>
          <m:t xml:space="preserve"> = </m:t>
        </m:r>
        <m:d>
          <m:dPr>
            <m:begChr m:val="("/>
            <m:endChr m:val=")"/>
          </m:dPr>
          <m:e>
            <m:r>
              <m:rPr>
                <m:lit/>
                <m:nor/>
              </m:rPr>
              <m:t xml:space="preserve">1-OF</m:t>
            </m:r>
            <m:r>
              <m:rPr>
                <m:lit/>
                <m:nor/>
              </m:rPr>
              <m:t xml:space="preserve">gm</m:t>
            </m:r>
          </m:e>
        </m:d>
        <m:r>
          <m:rPr>
            <m:lit/>
            <m:nor/>
          </m:rPr>
          <m:t xml:space="preserve">DMNC</m:t>
        </m:r>
        <m:r>
          <m:rPr>
            <m:lit/>
            <m:nor/>
          </m:rPr>
          <m:t xml:space="preserve">gm</m:t>
        </m:r>
      </m:oMath>
      <w:r>
        <w:rPr/>
        <w:t xml:space="preserve">; </w:t>
      </w:r>
    </w:p>
    <w:p>
      <w:pPr>
        <w:pStyle w:val="HeadingBody2"/>
        <w:widowControl/>
        <w:ind w:start="709" w:end="0"/>
        <w:rPr>
          <w:u w:val="single"/>
        </w:rPr>
      </w:pPr>
      <w:r>
        <w:rPr>
          <w:u w:val="single"/>
        </w:rPr>
        <w:t>where:</w:t>
      </w:r>
    </w:p>
    <w:p>
      <w:pPr>
        <w:pStyle w:val="HeadingBody2"/>
        <w:widowControl/>
        <w:ind w:start="709" w:end="0"/>
        <w:jc w:val="both"/>
        <w:rPr/>
      </w:pPr>
      <w:r>
        <w:rPr>
          <w:i/>
          <w:iCs/>
        </w:rPr>
        <w:t>UCAP</w:t>
      </w:r>
      <w:r>
        <w:rPr>
          <w:i/>
          <w:iCs/>
          <w:vertAlign w:val="superscript"/>
        </w:rPr>
        <w:t>Q</w:t>
      </w:r>
      <w:r>
        <w:rPr>
          <w:i/>
          <w:iCs/>
          <w:vertAlign w:val="subscript"/>
        </w:rPr>
        <w:t>gm</w:t>
      </w:r>
      <w:r>
        <w:rPr/>
        <w:t xml:space="preserve"> is the Unforced Capacity that supplier </w:t>
      </w:r>
      <w:r>
        <w:rPr>
          <w:i/>
          <w:iCs/>
        </w:rPr>
        <w:t>g</w:t>
      </w:r>
      <w:r>
        <w:rPr/>
        <w:t xml:space="preserve"> is qualified to provide in month </w:t>
      </w:r>
      <w:r>
        <w:rPr>
          <w:i/>
          <w:iCs/>
        </w:rPr>
        <w:t>m</w:t>
      </w:r>
      <w:r>
        <w:rPr/>
        <w:t>;</w:t>
      </w:r>
    </w:p>
    <w:p>
      <w:pPr>
        <w:pStyle w:val="HeadingBody2"/>
        <w:widowControl/>
        <w:ind w:start="709" w:end="0"/>
        <w:jc w:val="both"/>
        <w:rPr/>
      </w:pPr>
      <w:r>
        <w:rPr>
          <w:i/>
          <w:iCs/>
        </w:rPr>
        <w:t>OF</w:t>
      </w:r>
      <w:r>
        <w:rPr>
          <w:i/>
          <w:iCs/>
          <w:vertAlign w:val="subscript"/>
        </w:rPr>
        <w:t>gm</w:t>
      </w:r>
      <w:r>
        <w:rPr/>
        <w:t xml:space="preserve"> is the Outage Factor calculated for supplier </w:t>
      </w:r>
      <w:r>
        <w:rPr>
          <w:i/>
          <w:iCs/>
        </w:rPr>
        <w:t>g</w:t>
      </w:r>
      <w:r>
        <w:rPr/>
        <w:t xml:space="preserve">, as further defined below, that will be used to determine the amount of Unforced Capacity that Resource will be permitted to provide in month </w:t>
      </w:r>
      <w:r>
        <w:rPr>
          <w:i/>
          <w:iCs/>
        </w:rPr>
        <w:t>m</w:t>
      </w:r>
      <w:r>
        <w:rPr/>
        <w:t>; and</w:t>
      </w:r>
    </w:p>
    <w:p>
      <w:pPr>
        <w:pStyle w:val="HeadingBody2"/>
        <w:widowControl/>
        <w:ind w:start="709" w:end="0"/>
        <w:jc w:val="both"/>
        <w:rPr/>
      </w:pPr>
      <w:r>
        <w:rPr>
          <w:i/>
          <w:iCs/>
        </w:rPr>
        <w:t>DMNC</w:t>
      </w:r>
      <w:r>
        <w:rPr>
          <w:i/>
          <w:iCs/>
          <w:vertAlign w:val="subscript"/>
        </w:rPr>
        <w:t>gm</w:t>
      </w:r>
      <w:r>
        <w:rPr/>
        <w:t xml:space="preserve"> is the DMNC rating for supplier </w:t>
      </w:r>
      <w:r>
        <w:rPr>
          <w:i/>
          <w:iCs/>
        </w:rPr>
        <w:t>g</w:t>
      </w:r>
      <w:r>
        <w:rPr/>
        <w:t xml:space="preserve"> which is applicable for month </w:t>
      </w:r>
      <w:r>
        <w:rPr>
          <w:i/>
          <w:iCs/>
        </w:rPr>
        <w:t>m</w:t>
      </w:r>
      <w:r>
        <w:rPr/>
        <w:t xml:space="preserve">, which shall be the most recent Summer DMNC rating for that supplier calculated in accordance with ISO procedures if month </w:t>
      </w:r>
      <w:r>
        <w:rPr>
          <w:i/>
          <w:iCs/>
        </w:rPr>
        <w:t>m</w:t>
      </w:r>
      <w:r>
        <w:rPr/>
        <w:t xml:space="preserve"> is part of a Summer Capability Period, or the most recent Winter DMNC rating for the supplier calculated in accordance with ISO procedures if month </w:t>
      </w:r>
      <w:r>
        <w:rPr>
          <w:i/>
          <w:iCs/>
        </w:rPr>
        <w:t>m</w:t>
      </w:r>
      <w:r>
        <w:rPr/>
        <w:t xml:space="preserve"> is part of a Winter Capability Period, as of the close of business on the last business day preceding the Monthly Installed Capacity Auction that is conducted during the month preceding month </w:t>
      </w:r>
      <w:r>
        <w:rPr>
          <w:i/>
          <w:iCs/>
        </w:rPr>
        <w:t>m</w:t>
      </w:r>
      <w:r>
        <w:rPr/>
        <w:t>.</w:t>
      </w:r>
    </w:p>
    <w:p>
      <w:pPr>
        <w:pStyle w:val="HeadingBody2"/>
        <w:widowControl/>
        <w:ind w:start="709" w:end="0"/>
        <w:jc w:val="both"/>
        <w:rPr/>
      </w:pPr>
      <w:r>
        <w:rPr/>
        <w:t>A rolling, cumulative 12-month, outage factor (OF) will be calculated for each Resource that submits the basic data (equivalent GADS Data) using the GADS Data form in Attachment K.  The OF for month (m) will be based on GADS Data for months, m-14 through month m-3.  (For example, EFOR</w:t>
      </w:r>
      <w:r>
        <w:rPr>
          <w:vertAlign w:val="subscript"/>
        </w:rPr>
        <w:t>D</w:t>
      </w:r>
      <w:r>
        <w:rPr/>
        <w:t xml:space="preserve"> for August will be based on data submitted for June of the prior year through May of the current year).</w:t>
      </w:r>
    </w:p>
    <w:p>
      <w:pPr>
        <w:pStyle w:val="HeadingBody2"/>
        <w:widowControl/>
        <w:ind w:start="709" w:end="0"/>
        <w:rPr>
          <w:sz w:val="20"/>
          <w:szCs w:val="20"/>
        </w:rPr>
      </w:pPr>
      <w:r>
        <w:rPr>
          <w:sz w:val="20"/>
          <w:szCs w:val="20"/>
        </w:rPr>
      </w:r>
      <m:oMathPara xmlns:m="http://schemas.openxmlformats.org/officeDocument/2006/math">
        <m:oMathParaPr>
          <m:jc m:val="left"/>
        </m:oMathParaPr>
        <m:oMath>
          <m:r>
            <m:rPr>
              <m:lit/>
              <m:nor/>
            </m:rPr>
            <m:t xml:space="preserve">OF</m:t>
          </m:r>
          <m:r>
            <m:rPr>
              <m:lit/>
              <m:nor/>
            </m:rPr>
            <m:t xml:space="preserve">gm</m:t>
          </m:r>
          <m:r>
            <m:t xml:space="preserve">=</m:t>
          </m:r>
          <m:f>
            <m:num>
              <m:r>
                <m:rPr>
                  <m:lit/>
                  <m:nor/>
                </m:rPr>
                <m:t xml:space="preserve">IST</m:t>
              </m:r>
              <m:r>
                <m:rPr>
                  <m:lit/>
                  <m:nor/>
                </m:rPr>
                <m:t xml:space="preserve">ge</m:t>
              </m:r>
            </m:num>
            <m:den>
              <m:r>
                <m:rPr>
                  <m:lit/>
                  <m:nor/>
                </m:rPr>
                <m:t xml:space="preserve">12</m:t>
              </m:r>
            </m:den>
          </m:f>
          <m:r>
            <m:t xml:space="preserve">´</m:t>
          </m:r>
          <m:d>
            <m:dPr>
              <m:begChr m:val="("/>
              <m:endChr m:val=")"/>
            </m:dPr>
            <m:e>
              <m:r>
                <m:rPr>
                  <m:lit/>
                  <m:nor/>
                </m:rPr>
                <m:t xml:space="preserve">1-CF</m:t>
              </m:r>
              <m:r>
                <m:rPr>
                  <m:lit/>
                  <m:nor/>
                </m:rPr>
                <m:t xml:space="preserve">gbe</m:t>
              </m:r>
            </m:e>
          </m:d>
          <m:r>
            <m:t xml:space="preserve">+</m:t>
          </m:r>
          <m:d>
            <m:dPr>
              <m:begChr m:val="("/>
              <m:endChr m:val=")"/>
            </m:dPr>
            <m:e>
              <m:r>
                <m:rPr>
                  <m:lit/>
                  <m:nor/>
                </m:rPr>
                <m:t xml:space="preserve">1-</m:t>
              </m:r>
              <m:f>
                <m:num>
                  <m:r>
                    <m:rPr>
                      <m:lit/>
                      <m:nor/>
                    </m:rPr>
                    <m:t xml:space="preserve">IST</m:t>
                  </m:r>
                  <m:r>
                    <m:rPr>
                      <m:lit/>
                      <m:nor/>
                    </m:rPr>
                    <m:t xml:space="preserve">ge</m:t>
                  </m:r>
                </m:num>
                <m:den>
                  <m:r>
                    <m:rPr>
                      <m:lit/>
                      <m:nor/>
                    </m:rPr>
                    <m:t xml:space="preserve">12</m:t>
                  </m:r>
                </m:den>
              </m:f>
            </m:e>
          </m:d>
          <m:d>
            <m:dPr>
              <m:begChr m:val="("/>
              <m:endChr m:val=")"/>
            </m:dPr>
            <m:e>
              <m:r>
                <m:rPr>
                  <m:lit/>
                  <m:nor/>
                </m:rPr>
                <m:t xml:space="preserve">1-CCF</m:t>
              </m:r>
              <m:r>
                <m:t xml:space="preserve">g</m:t>
              </m:r>
            </m:e>
          </m:d>
        </m:oMath>
      </m:oMathPara>
    </w:p>
    <w:p>
      <w:pPr>
        <w:pStyle w:val="HeadingBody2"/>
        <w:widowControl/>
        <w:ind w:start="709" w:end="0"/>
        <w:rPr>
          <w:u w:val="single"/>
        </w:rPr>
      </w:pPr>
      <w:r>
        <w:rPr>
          <w:u w:val="single"/>
        </w:rPr>
        <w:t>where:</w:t>
      </w:r>
    </w:p>
    <w:p>
      <w:pPr>
        <w:pStyle w:val="HeadingBody2"/>
        <w:widowControl/>
        <w:ind w:start="709" w:end="0"/>
        <w:jc w:val="both"/>
        <w:rPr/>
      </w:pPr>
      <w:r>
        <w:rPr>
          <w:i/>
          <w:iCs/>
        </w:rPr>
        <w:t>OF</w:t>
      </w:r>
      <w:r>
        <w:rPr>
          <w:i/>
          <w:iCs/>
          <w:vertAlign w:val="subscript"/>
        </w:rPr>
        <w:t>gm</w:t>
      </w:r>
      <w:r>
        <w:rPr/>
        <w:t xml:space="preserve"> is the Outage Factor for Resource </w:t>
      </w:r>
      <w:r>
        <w:rPr>
          <w:i/>
          <w:iCs/>
        </w:rPr>
        <w:t>g</w:t>
      </w:r>
      <w:r>
        <w:rPr/>
        <w:t xml:space="preserve"> that will be used to determine the amount of Unforced Capacity that Resource will be permitted to provide in month </w:t>
      </w:r>
      <w:r>
        <w:rPr>
          <w:i/>
          <w:iCs/>
        </w:rPr>
        <w:t>m</w:t>
      </w:r>
      <w:r>
        <w:rPr/>
        <w:t>;</w:t>
      </w:r>
    </w:p>
    <w:p>
      <w:pPr>
        <w:pStyle w:val="HeadingBody2"/>
        <w:widowControl/>
        <w:ind w:start="709" w:end="0"/>
        <w:jc w:val="both"/>
        <w:rPr/>
      </w:pPr>
      <w:r>
        <w:rPr>
          <w:i/>
          <w:iCs/>
        </w:rPr>
        <w:t>IST</w:t>
      </w:r>
      <w:r>
        <w:rPr>
          <w:i/>
          <w:iCs/>
          <w:vertAlign w:val="subscript"/>
        </w:rPr>
        <w:t>ge</w:t>
      </w:r>
      <w:r>
        <w:rPr/>
        <w:t xml:space="preserve"> is the number of months that Resource </w:t>
      </w:r>
      <w:r>
        <w:rPr>
          <w:i/>
          <w:iCs/>
        </w:rPr>
        <w:t>g</w:t>
      </w:r>
      <w:r>
        <w:rPr/>
        <w:t xml:space="preserve"> had been in service as of time </w:t>
      </w:r>
      <w:r>
        <w:rPr>
          <w:i/>
          <w:iCs/>
        </w:rPr>
        <w:t>e</w:t>
      </w:r>
      <w:r>
        <w:rPr/>
        <w:t xml:space="preserve"> (0 if generator </w:t>
      </w:r>
      <w:r>
        <w:rPr>
          <w:i/>
          <w:iCs/>
        </w:rPr>
        <w:t>g</w:t>
      </w:r>
      <w:r>
        <w:rPr/>
        <w:t xml:space="preserve"> was not in service as of time </w:t>
      </w:r>
      <w:r>
        <w:rPr>
          <w:i/>
          <w:iCs/>
        </w:rPr>
        <w:t>e</w:t>
      </w:r>
      <w:r>
        <w:rPr/>
        <w:t xml:space="preserve">; 12 if Resource </w:t>
      </w:r>
      <w:r>
        <w:rPr>
          <w:i/>
          <w:iCs/>
        </w:rPr>
        <w:t>g</w:t>
      </w:r>
      <w:r>
        <w:rPr/>
        <w:t xml:space="preserve"> was in service from months m-14 through month m-3); and</w:t>
      </w:r>
    </w:p>
    <w:p>
      <w:pPr>
        <w:pStyle w:val="HeadingBody2"/>
        <w:widowControl/>
        <w:ind w:start="709" w:end="0"/>
        <w:rPr>
          <w:sz w:val="20"/>
          <w:szCs w:val="20"/>
        </w:rPr>
      </w:pPr>
      <w:r>
        <w:rPr>
          <w:sz w:val="20"/>
          <w:szCs w:val="20"/>
        </w:rPr>
      </w:r>
      <m:oMathPara xmlns:m="http://schemas.openxmlformats.org/officeDocument/2006/math">
        <m:oMathParaPr>
          <m:jc m:val="left"/>
        </m:oMathParaPr>
        <m:oMath>
          <m:r>
            <m:rPr>
              <m:lit/>
              <m:nor/>
            </m:rPr>
            <m:t xml:space="preserve">CF</m:t>
          </m:r>
          <m:r>
            <m:rPr>
              <m:lit/>
              <m:nor/>
            </m:rPr>
            <m:t xml:space="preserve">gbe</m:t>
          </m:r>
          <m:r>
            <m:rPr>
              <m:lit/>
              <m:nor/>
            </m:rPr>
            <m:t xml:space="preserve"> = 1-</m:t>
          </m:r>
          <m:f>
            <m:num>
              <m:d>
                <m:dPr>
                  <m:begChr m:val="("/>
                  <m:endChr m:val=")"/>
                </m:dPr>
                <m:e>
                  <m:r>
                    <m:rPr>
                      <m:lit/>
                      <m:nor/>
                    </m:rPr>
                    <m:t xml:space="preserve">NAG</m:t>
                  </m:r>
                  <m:r>
                    <m:rPr>
                      <m:lit/>
                      <m:nor/>
                    </m:rPr>
                    <m:t xml:space="preserve">gbe</m:t>
                  </m:r>
                </m:e>
              </m:d>
            </m:num>
            <m:den>
              <m:nary>
                <m:naryPr>
                  <m:chr m:val="∑"/>
                </m:naryPr>
                <m:sub>
                  <m:r>
                    <m:rPr>
                      <m:lit/>
                      <m:nor/>
                    </m:rPr>
                    <m:t xml:space="preserve">m=B</m:t>
                  </m:r>
                </m:sub>
                <m:sup>
                  <m:r>
                    <m:t xml:space="preserve">E</m:t>
                  </m:r>
                </m:sup>
                <m:e>
                  <m:d>
                    <m:dPr>
                      <m:begChr m:val="("/>
                      <m:endChr m:val=")"/>
                    </m:dPr>
                    <m:e>
                      <m:r>
                        <m:rPr>
                          <m:lit/>
                          <m:nor/>
                        </m:rPr>
                        <m:t xml:space="preserve">NDC</m:t>
                      </m:r>
                      <m:r>
                        <m:rPr>
                          <m:lit/>
                          <m:nor/>
                        </m:rPr>
                        <m:t xml:space="preserve">gm</m:t>
                      </m:r>
                      <m:d>
                        <m:dPr>
                          <m:begChr m:val="("/>
                          <m:endChr m:val=")"/>
                        </m:dPr>
                        <m:e>
                          <m:r>
                            <m:rPr>
                              <m:lit/>
                              <m:nor/>
                            </m:rPr>
                            <m:t xml:space="preserve">PH</m:t>
                          </m:r>
                          <m:r>
                            <m:rPr>
                              <m:lit/>
                              <m:nor/>
                            </m:rPr>
                            <m:t xml:space="preserve">gm</m:t>
                          </m:r>
                          <m:r>
                            <m:rPr>
                              <m:lit/>
                              <m:nor/>
                            </m:rPr>
                            <m:t xml:space="preserve">-POH</m:t>
                          </m:r>
                          <m:r>
                            <m:rPr>
                              <m:lit/>
                              <m:nor/>
                            </m:rPr>
                            <m:t xml:space="preserve">gm</m:t>
                          </m:r>
                          <m:r>
                            <m:rPr>
                              <m:lit/>
                              <m:nor/>
                            </m:rPr>
                            <m:t xml:space="preserve">-MOH</m:t>
                          </m:r>
                          <m:r>
                            <m:rPr>
                              <m:lit/>
                              <m:nor/>
                            </m:rPr>
                            <m:t xml:space="preserve">gm</m:t>
                          </m:r>
                        </m:e>
                      </m:d>
                    </m:e>
                  </m:d>
                </m:e>
              </m:nary>
            </m:den>
          </m:f>
        </m:oMath>
      </m:oMathPara>
    </w:p>
    <w:p>
      <w:pPr>
        <w:pStyle w:val="HeadingBody2"/>
        <w:widowControl/>
        <w:ind w:start="709" w:end="0"/>
        <w:rPr>
          <w:u w:val="single"/>
        </w:rPr>
      </w:pPr>
      <w:r>
        <w:rPr>
          <w:u w:val="single"/>
        </w:rPr>
        <w:t>where:</w:t>
      </w:r>
    </w:p>
    <w:p>
      <w:pPr>
        <w:pStyle w:val="BodyText"/>
        <w:widowControl/>
        <w:ind w:hanging="0" w:start="709" w:end="0"/>
        <w:jc w:val="both"/>
        <w:rPr/>
      </w:pPr>
      <w:r>
        <w:rPr>
          <w:i/>
          <w:iCs/>
        </w:rPr>
        <w:t>CF</w:t>
      </w:r>
      <w:r>
        <w:rPr>
          <w:i/>
          <w:iCs/>
          <w:vertAlign w:val="subscript"/>
        </w:rPr>
        <w:t>gbe</w:t>
      </w:r>
      <w:r>
        <w:rPr>
          <w:i/>
          <w:iCs/>
        </w:rPr>
        <w:t xml:space="preserve"> </w:t>
      </w:r>
      <w:r>
        <w:rPr/>
        <w:t xml:space="preserve">is the Capacity Factor for Resource </w:t>
      </w:r>
      <w:r>
        <w:rPr>
          <w:i/>
          <w:iCs/>
        </w:rPr>
        <w:t>g</w:t>
      </w:r>
      <w:r>
        <w:rPr/>
        <w:t xml:space="preserve"> for the period beginning at time </w:t>
      </w:r>
      <w:r>
        <w:rPr>
          <w:i/>
          <w:iCs/>
        </w:rPr>
        <w:t>b</w:t>
      </w:r>
      <w:r>
        <w:rPr/>
        <w:t xml:space="preserve"> and ending at time </w:t>
      </w:r>
      <w:r>
        <w:rPr>
          <w:i/>
          <w:iCs/>
        </w:rPr>
        <w:t>e</w:t>
      </w:r>
      <w:r>
        <w:rPr/>
        <w:t>;</w:t>
      </w:r>
    </w:p>
    <w:p>
      <w:pPr>
        <w:pStyle w:val="BodyText"/>
        <w:widowControl/>
        <w:ind w:hanging="0" w:start="709" w:end="0"/>
        <w:jc w:val="both"/>
        <w:rPr/>
      </w:pPr>
      <w:r>
        <w:rPr>
          <w:i/>
          <w:iCs/>
        </w:rPr>
        <w:t>NAG</w:t>
      </w:r>
      <w:r>
        <w:rPr>
          <w:i/>
          <w:iCs/>
          <w:vertAlign w:val="subscript"/>
        </w:rPr>
        <w:t>gbe</w:t>
      </w:r>
      <w:r>
        <w:rPr>
          <w:i/>
          <w:iCs/>
        </w:rPr>
        <w:t xml:space="preserve"> </w:t>
      </w:r>
      <w:r>
        <w:rPr/>
        <w:t xml:space="preserve">is the Net Actual Generation for Resource </w:t>
      </w:r>
      <w:r>
        <w:rPr>
          <w:i/>
          <w:iCs/>
        </w:rPr>
        <w:t>g</w:t>
      </w:r>
      <w:r>
        <w:rPr/>
        <w:t xml:space="preserve"> for the period beginning at time </w:t>
      </w:r>
      <w:r>
        <w:rPr>
          <w:i/>
          <w:iCs/>
        </w:rPr>
        <w:t>b</w:t>
      </w:r>
      <w:r>
        <w:rPr/>
        <w:t xml:space="preserve"> and ending at time </w:t>
      </w:r>
      <w:r>
        <w:rPr>
          <w:i/>
          <w:iCs/>
        </w:rPr>
        <w:t>e</w:t>
      </w:r>
      <w:r>
        <w:rPr/>
        <w:t>.  The data is the GADS Data submitted in accordance with Attachment K, Performance Record 01, columns 39-45;</w:t>
      </w:r>
    </w:p>
    <w:p>
      <w:pPr>
        <w:pStyle w:val="BodyText"/>
        <w:widowControl/>
        <w:ind w:hanging="0" w:start="709" w:end="0"/>
        <w:jc w:val="both"/>
        <w:rPr/>
      </w:pPr>
      <w:r>
        <w:rPr>
          <w:i/>
          <w:iCs/>
        </w:rPr>
        <w:t>NDC</w:t>
      </w:r>
      <w:r>
        <w:rPr>
          <w:i/>
          <w:iCs/>
          <w:vertAlign w:val="subscript"/>
        </w:rPr>
        <w:t>gm</w:t>
      </w:r>
      <w:r>
        <w:rPr>
          <w:i/>
          <w:iCs/>
        </w:rPr>
        <w:t xml:space="preserve"> </w:t>
      </w:r>
      <w:r>
        <w:rPr/>
        <w:t xml:space="preserve">is the Net Dependable Capacity for Resource </w:t>
      </w:r>
      <w:r>
        <w:rPr>
          <w:i/>
          <w:iCs/>
        </w:rPr>
        <w:t>g</w:t>
      </w:r>
      <w:r>
        <w:rPr/>
        <w:t xml:space="preserve"> for month </w:t>
      </w:r>
      <w:r>
        <w:rPr>
          <w:i/>
          <w:iCs/>
        </w:rPr>
        <w:t>m</w:t>
      </w:r>
      <w:r>
        <w:rPr/>
        <w:t>.  The data is the GADS Data submitted in accordance with Attachment K, Performance Record 01, columns 35-38;</w:t>
      </w:r>
    </w:p>
    <w:p>
      <w:pPr>
        <w:pStyle w:val="BodyText"/>
        <w:widowControl/>
        <w:ind w:hanging="0" w:start="709" w:end="0"/>
        <w:jc w:val="both"/>
        <w:rPr/>
      </w:pPr>
      <w:r>
        <w:rPr>
          <w:i/>
          <w:iCs/>
        </w:rPr>
        <w:t>PH</w:t>
      </w:r>
      <w:r>
        <w:rPr>
          <w:i/>
          <w:iCs/>
          <w:vertAlign w:val="subscript"/>
        </w:rPr>
        <w:t>gm</w:t>
      </w:r>
      <w:r>
        <w:rPr/>
        <w:t xml:space="preserve"> is the Period Hours reported for Resource </w:t>
      </w:r>
      <w:r>
        <w:rPr>
          <w:i/>
          <w:iCs/>
        </w:rPr>
        <w:t>g</w:t>
      </w:r>
      <w:r>
        <w:rPr/>
        <w:t xml:space="preserve"> for month </w:t>
      </w:r>
      <w:r>
        <w:rPr>
          <w:i/>
          <w:iCs/>
        </w:rPr>
        <w:t>m</w:t>
      </w:r>
      <w:r>
        <w:rPr/>
        <w:t>.  The data is the GADS Data submitted in accordance with Attachment K, Performance Record 02, columns 56-59;</w:t>
      </w:r>
    </w:p>
    <w:p>
      <w:pPr>
        <w:pStyle w:val="BodyText"/>
        <w:widowControl/>
        <w:ind w:hanging="0" w:start="709" w:end="0"/>
        <w:jc w:val="both"/>
        <w:rPr/>
      </w:pPr>
      <w:r>
        <w:rPr>
          <w:i/>
          <w:iCs/>
        </w:rPr>
        <w:t>POH</w:t>
      </w:r>
      <w:r>
        <w:rPr>
          <w:i/>
          <w:iCs/>
          <w:vertAlign w:val="subscript"/>
        </w:rPr>
        <w:t>gm</w:t>
      </w:r>
      <w:r>
        <w:rPr/>
        <w:t xml:space="preserve"> is the Planned Outage Hours reported for Resource </w:t>
      </w:r>
      <w:r>
        <w:rPr>
          <w:i/>
          <w:iCs/>
        </w:rPr>
        <w:t>g</w:t>
      </w:r>
      <w:r>
        <w:rPr/>
        <w:t xml:space="preserve"> for month </w:t>
      </w:r>
      <w:r>
        <w:rPr>
          <w:i/>
          <w:iCs/>
        </w:rPr>
        <w:t>m</w:t>
      </w:r>
      <w:r>
        <w:rPr/>
        <w:t>.  The data is from the GADS Data submitted in accordance with Attachment K, Performance Record 02, columns 36-39;</w:t>
      </w:r>
    </w:p>
    <w:p>
      <w:pPr>
        <w:pStyle w:val="BodyText"/>
        <w:widowControl/>
        <w:ind w:hanging="0" w:start="709" w:end="0"/>
        <w:jc w:val="both"/>
        <w:rPr/>
      </w:pPr>
      <w:r>
        <w:rPr>
          <w:i/>
          <w:iCs/>
        </w:rPr>
        <w:t>MOH</w:t>
      </w:r>
      <w:r>
        <w:rPr>
          <w:i/>
          <w:iCs/>
          <w:vertAlign w:val="subscript"/>
        </w:rPr>
        <w:t>gm</w:t>
      </w:r>
      <w:r>
        <w:rPr/>
        <w:t xml:space="preserve"> is the Maintenance Outage Hours reported for Resource </w:t>
      </w:r>
      <w:r>
        <w:rPr>
          <w:i/>
          <w:iCs/>
        </w:rPr>
        <w:t>g</w:t>
      </w:r>
      <w:r>
        <w:rPr/>
        <w:t xml:space="preserve"> for month </w:t>
      </w:r>
      <w:r>
        <w:rPr>
          <w:i/>
          <w:iCs/>
        </w:rPr>
        <w:t>m</w:t>
      </w:r>
      <w:r>
        <w:rPr/>
        <w:t>.  The data is from the GADS Data submitted in accordance with Attachment K, Performance Record 02, columns 44-47;</w:t>
      </w:r>
    </w:p>
    <w:p>
      <w:pPr>
        <w:pStyle w:val="HeadingBody2"/>
        <w:widowControl/>
        <w:ind w:start="709" w:end="0"/>
        <w:jc w:val="both"/>
        <w:rPr/>
      </w:pPr>
      <w:r>
        <w:rPr>
          <w:i/>
          <w:iCs/>
        </w:rPr>
        <w:t>CCF</w:t>
      </w:r>
      <w:r>
        <w:rPr>
          <w:i/>
          <w:iCs/>
          <w:vertAlign w:val="subscript"/>
        </w:rPr>
        <w:t>g</w:t>
      </w:r>
      <w:r>
        <w:rPr/>
        <w:t xml:space="preserve"> is the class-equivalent Capacity Factor for suppliers of the same class as supplier </w:t>
      </w:r>
      <w:r>
        <w:rPr>
          <w:i/>
          <w:iCs/>
        </w:rPr>
        <w:t xml:space="preserve">g </w:t>
      </w:r>
      <w:r>
        <w:rPr/>
        <w:t>based on NERC class averages for similar Resources.  Where no similar Resource exists, the NYISO will estimate a value based on its best judgment if a mutually acceptable value cannot be agreed on;</w:t>
      </w:r>
    </w:p>
    <w:p>
      <w:pPr>
        <w:pStyle w:val="HeadingBody2"/>
        <w:widowControl/>
        <w:ind w:start="709" w:end="0"/>
        <w:jc w:val="both"/>
        <w:rPr/>
      </w:pPr>
      <w:r>
        <w:rPr>
          <w:i/>
          <w:iCs/>
        </w:rPr>
        <w:t>b</w:t>
      </w:r>
      <w:r>
        <w:rPr/>
        <w:t xml:space="preserve"> is the beginning of the month occurring 14 months before month </w:t>
      </w:r>
      <w:r>
        <w:rPr>
          <w:i/>
          <w:iCs/>
        </w:rPr>
        <w:t>m</w:t>
      </w:r>
      <w:r>
        <w:rPr/>
        <w:t xml:space="preserve">, unless the supplier had not gone into service at that time, in which case </w:t>
      </w:r>
      <w:r>
        <w:rPr>
          <w:i/>
          <w:iCs/>
        </w:rPr>
        <w:t>b</w:t>
      </w:r>
      <w:r>
        <w:rPr/>
        <w:t xml:space="preserve"> is the time at which that supplier went into service;</w:t>
      </w:r>
    </w:p>
    <w:p>
      <w:pPr>
        <w:pStyle w:val="HeadingBody2"/>
        <w:widowControl/>
        <w:ind w:start="709" w:end="0"/>
        <w:jc w:val="both"/>
        <w:rPr/>
      </w:pPr>
      <w:r>
        <w:rPr>
          <w:i/>
          <w:iCs/>
        </w:rPr>
        <w:t>e</w:t>
      </w:r>
      <w:r>
        <w:rPr/>
        <w:t xml:space="preserve"> is the end of the month occurring three months before month </w:t>
      </w:r>
      <w:r>
        <w:rPr>
          <w:i/>
          <w:iCs/>
        </w:rPr>
        <w:t>m</w:t>
      </w:r>
      <w:r>
        <w:rPr/>
        <w:t xml:space="preserve">, (e.g., if month </w:t>
      </w:r>
      <w:r>
        <w:rPr>
          <w:i/>
          <w:iCs/>
        </w:rPr>
        <w:t>m</w:t>
      </w:r>
      <w:r>
        <w:rPr/>
        <w:t xml:space="preserve"> is September 2001, then </w:t>
      </w:r>
      <w:r>
        <w:rPr>
          <w:i/>
          <w:iCs/>
        </w:rPr>
        <w:t>e</w:t>
      </w:r>
      <w:r>
        <w:rPr/>
        <w:t xml:space="preserve"> is the end of June 2001);</w:t>
      </w:r>
    </w:p>
    <w:p>
      <w:pPr>
        <w:pStyle w:val="HeadingBody2"/>
        <w:widowControl/>
        <w:ind w:start="709" w:end="0"/>
        <w:jc w:val="both"/>
        <w:rPr/>
      </w:pPr>
      <w:r>
        <w:rPr>
          <w:i/>
          <w:iCs/>
        </w:rPr>
        <w:t>B</w:t>
      </w:r>
      <w:r>
        <w:rPr/>
        <w:t xml:space="preserve"> is the month containing time </w:t>
      </w:r>
      <w:r>
        <w:rPr>
          <w:i/>
          <w:iCs/>
        </w:rPr>
        <w:t>b</w:t>
      </w:r>
      <w:r>
        <w:rPr/>
        <w:t xml:space="preserve">; and </w:t>
      </w:r>
    </w:p>
    <w:p>
      <w:pPr>
        <w:pStyle w:val="HeadingBody2"/>
        <w:widowControl/>
        <w:ind w:start="709" w:end="0"/>
        <w:jc w:val="both"/>
        <w:rPr/>
      </w:pPr>
      <w:r>
        <w:rPr>
          <w:i/>
          <w:iCs/>
        </w:rPr>
        <w:t>E</w:t>
      </w:r>
      <w:r>
        <w:rPr/>
        <w:t xml:space="preserve"> is the month containing time </w:t>
      </w:r>
      <w:r>
        <w:rPr>
          <w:i/>
          <w:iCs/>
        </w:rPr>
        <w:t>e</w:t>
      </w:r>
      <w:r>
        <w:rPr/>
        <w:t>.</w:t>
      </w:r>
    </w:p>
    <w:p>
      <w:pPr>
        <w:pStyle w:val="BodyText"/>
        <w:widowControl/>
        <w:rPr>
          <w:b/>
          <w:bCs/>
        </w:rPr>
      </w:pPr>
      <w:r>
        <w:rPr>
          <w:b/>
          <w:bCs/>
        </w:rPr>
        <w:t>(b)</w:t>
        <w:tab/>
        <w:t>Determining the ICE of the Amount of UCAP Supplied</w:t>
      </w:r>
    </w:p>
    <w:p>
      <w:pPr>
        <w:pStyle w:val="HeadingBody2"/>
        <w:widowControl/>
        <w:ind w:hanging="720" w:end="0"/>
        <w:rPr>
          <w:sz w:val="20"/>
          <w:szCs w:val="20"/>
        </w:rPr>
      </w:pPr>
      <w:r>
        <w:rPr>
          <w:sz w:val="20"/>
          <w:szCs w:val="20"/>
        </w:rPr>
      </w:r>
      <m:oMathPara xmlns:m="http://schemas.openxmlformats.org/officeDocument/2006/math">
        <m:oMathParaPr>
          <m:jc m:val="left"/>
        </m:oMathParaPr>
        <m:oMath>
          <m:sSub>
            <m:e>
              <m:r>
                <m:rPr>
                  <m:lit/>
                  <m:nor/>
                </m:rPr>
                <m:t xml:space="preserve">ICE</m:t>
              </m:r>
            </m:e>
            <m:sub>
              <m:r>
                <m:rPr>
                  <m:lit/>
                  <m:nor/>
                </m:rPr>
                <m:t xml:space="preserve">gm</m:t>
              </m:r>
            </m:sub>
          </m:sSub>
          <m:f>
            <m:fPr>
              <m:type m:val="lin"/>
            </m:fPr>
            <m:num>
              <m:sSubSup>
                <m:e>
                  <m:r>
                    <m:rPr>
                      <m:lit/>
                      <m:nor/>
                    </m:rPr>
                    <m:t xml:space="preserve"> = UCAP</m:t>
                  </m:r>
                </m:e>
                <m:sub>
                  <m:r>
                    <m:rPr>
                      <m:lit/>
                      <m:nor/>
                    </m:rPr>
                    <m:t xml:space="preserve">gm</m:t>
                  </m:r>
                </m:sub>
                <m:sup>
                  <m:r>
                    <m:t xml:space="preserve">P</m:t>
                  </m:r>
                </m:sup>
              </m:sSubSup>
            </m:num>
            <m:den>
              <m:r>
                <m:t xml:space="preserve">(</m:t>
              </m:r>
            </m:den>
          </m:f>
          <m:r>
            <m:rPr>
              <m:lit/>
              <m:nor/>
            </m:rPr>
            <m:t xml:space="preserve">1-OF</m:t>
          </m:r>
          <m:r>
            <m:rPr>
              <m:lit/>
              <m:nor/>
            </m:rPr>
            <m:t xml:space="preserve">gm</m:t>
          </m:r>
          <m:r>
            <m:t xml:space="preserve">)</m:t>
          </m:r>
        </m:oMath>
      </m:oMathPara>
    </w:p>
    <w:p>
      <w:pPr>
        <w:pStyle w:val="HeadingBody2"/>
        <w:widowControl/>
        <w:ind w:start="709" w:end="0"/>
        <w:jc w:val="both"/>
        <w:rPr>
          <w:u w:val="single"/>
        </w:rPr>
      </w:pPr>
      <w:r>
        <w:rPr>
          <w:u w:val="single"/>
        </w:rPr>
        <w:t>where:</w:t>
      </w:r>
    </w:p>
    <w:p>
      <w:pPr>
        <w:pStyle w:val="HeadingBody2"/>
        <w:widowControl/>
        <w:ind w:start="709" w:end="0"/>
        <w:jc w:val="both"/>
        <w:rPr/>
      </w:pPr>
      <w:r>
        <w:rPr>
          <w:i/>
          <w:iCs/>
        </w:rPr>
        <w:t>ICE</w:t>
      </w:r>
      <w:r>
        <w:rPr>
          <w:i/>
          <w:iCs/>
          <w:vertAlign w:val="subscript"/>
        </w:rPr>
        <w:t>gm</w:t>
      </w:r>
      <w:r>
        <w:rPr>
          <w:i/>
          <w:iCs/>
        </w:rPr>
        <w:t xml:space="preserve"> </w:t>
      </w:r>
      <w:r>
        <w:rPr/>
        <w:t>is the</w:t>
      </w:r>
      <w:r>
        <w:rPr>
          <w:i/>
          <w:iCs/>
        </w:rPr>
        <w:t xml:space="preserve"> </w:t>
      </w:r>
      <w:r>
        <w:rPr/>
        <w:t xml:space="preserve">Installed Capacity Equivalent of the amount of Unforced Capacity that supplier </w:t>
      </w:r>
      <w:r>
        <w:rPr>
          <w:i/>
          <w:iCs/>
        </w:rPr>
        <w:t>g</w:t>
      </w:r>
      <w:r>
        <w:rPr/>
        <w:t xml:space="preserve"> supplies in month </w:t>
      </w:r>
      <w:r>
        <w:rPr>
          <w:i/>
          <w:iCs/>
        </w:rPr>
        <w:t>m</w:t>
      </w:r>
      <w:r>
        <w:rPr/>
        <w:t>;</w:t>
      </w:r>
    </w:p>
    <w:p>
      <w:pPr>
        <w:pStyle w:val="HeadingBody2"/>
        <w:widowControl/>
        <w:ind w:start="709" w:end="0"/>
        <w:jc w:val="both"/>
        <w:rPr/>
      </w:pPr>
      <w:r>
        <w:rPr>
          <w:i/>
          <w:iCs/>
        </w:rPr>
        <w:t>UCAP</w:t>
      </w:r>
      <w:r>
        <w:rPr>
          <w:i/>
          <w:iCs/>
          <w:vertAlign w:val="superscript"/>
        </w:rPr>
        <w:t>P</w:t>
      </w:r>
      <w:r>
        <w:rPr>
          <w:i/>
          <w:iCs/>
          <w:vertAlign w:val="subscript"/>
        </w:rPr>
        <w:t>gm</w:t>
      </w:r>
      <w:r>
        <w:rPr/>
        <w:t xml:space="preserve"> is the amount of Unforced Capacity that supplier </w:t>
      </w:r>
      <w:r>
        <w:rPr>
          <w:i/>
          <w:iCs/>
        </w:rPr>
        <w:t xml:space="preserve">g </w:t>
      </w:r>
      <w:r>
        <w:rPr/>
        <w:t xml:space="preserve">supplies in month </w:t>
      </w:r>
      <w:r>
        <w:rPr>
          <w:i/>
          <w:iCs/>
        </w:rPr>
        <w:t>m</w:t>
      </w:r>
      <w:r>
        <w:rPr/>
        <w:t>; and</w:t>
      </w:r>
    </w:p>
    <w:p>
      <w:pPr>
        <w:pStyle w:val="HeadingBody2"/>
        <w:widowControl/>
        <w:ind w:start="709" w:end="0"/>
        <w:jc w:val="both"/>
        <w:rPr>
          <w:b/>
          <w:bCs/>
          <w:sz w:val="28"/>
          <w:szCs w:val="28"/>
        </w:rPr>
      </w:pPr>
      <w:r>
        <w:rPr>
          <w:i/>
          <w:iCs/>
        </w:rPr>
        <w:t>OF</w:t>
      </w:r>
      <w:r>
        <w:rPr>
          <w:i/>
          <w:iCs/>
          <w:vertAlign w:val="subscript"/>
        </w:rPr>
        <w:t>gm</w:t>
      </w:r>
      <w:r>
        <w:rPr/>
        <w:t xml:space="preserve">, as above, is the Outage Factor for Resource </w:t>
      </w:r>
      <w:r>
        <w:rPr>
          <w:i/>
          <w:iCs/>
        </w:rPr>
        <w:t>g</w:t>
      </w:r>
      <w:r>
        <w:rPr/>
        <w:t xml:space="preserve"> that will be used to determine the amount of Unforced Capacity that Resource will be permitted to provide in month </w:t>
      </w:r>
      <w:r>
        <w:rPr>
          <w:i/>
          <w:iCs/>
        </w:rPr>
        <w:t>m</w:t>
      </w:r>
      <w:r>
        <w:rPr/>
        <w:t>.</w:t>
      </w:r>
    </w:p>
    <w:p>
      <w:pPr>
        <w:pStyle w:val="HeadingBody2"/>
        <w:widowControl/>
        <w:ind w:hanging="720" w:end="0"/>
        <w:rPr>
          <w:b/>
          <w:bCs/>
          <w:sz w:val="28"/>
          <w:szCs w:val="28"/>
        </w:rPr>
      </w:pPr>
      <w:r>
        <w:rPr>
          <w:b/>
          <w:bCs/>
          <w:sz w:val="28"/>
          <w:szCs w:val="28"/>
        </w:rPr>
        <w:t>3.3</w:t>
        <w:tab/>
        <w:t>UCAP based on Load/Demand Reduction applicable to Special Case Resources</w:t>
      </w:r>
    </w:p>
    <w:p>
      <w:pPr>
        <w:pStyle w:val="BodyText"/>
        <w:widowControl/>
        <w:rPr>
          <w:b/>
          <w:bCs/>
        </w:rPr>
      </w:pPr>
      <w:r>
        <w:rPr>
          <w:b/>
          <w:bCs/>
        </w:rPr>
        <w:t>(a)</w:t>
        <w:tab/>
        <w:t>Determining the Amount of UCAP a Supplier Qualifies to Supply</w:t>
      </w:r>
    </w:p>
    <w:p>
      <w:pPr>
        <w:pStyle w:val="HeadingBody2"/>
        <w:widowControl/>
        <w:ind w:start="709" w:end="0"/>
        <w:rPr/>
      </w:pPr>
      <w:r>
        <w:rPr>
          <w:sz w:val="20"/>
          <w:szCs w:val="20"/>
        </w:rPr>
      </w:r>
      <m:oMath xmlns:m="http://schemas.openxmlformats.org/officeDocument/2006/math">
        <m:sSubSup>
          <m:e>
            <m:r>
              <m:rPr>
                <m:lit/>
                <m:nor/>
              </m:rPr>
              <m:t xml:space="preserve">UCAP</m:t>
            </m:r>
          </m:e>
          <m:sub>
            <m:r>
              <m:rPr>
                <m:lit/>
                <m:nor/>
              </m:rPr>
              <m:t xml:space="preserve">gm</m:t>
            </m:r>
          </m:sub>
          <m:sup>
            <m:r>
              <m:t xml:space="preserve">Q</m:t>
            </m:r>
          </m:sup>
        </m:sSubSup>
        <m:r>
          <m:t xml:space="preserve">=</m:t>
        </m:r>
        <m:d>
          <m:dPr>
            <m:begChr m:val="("/>
            <m:endChr m:val=")"/>
          </m:dPr>
          <m:e>
            <m:r>
              <m:rPr>
                <m:lit/>
                <m:nor/>
              </m:rPr>
              <m:t xml:space="preserve">APMD</m:t>
            </m:r>
            <m:r>
              <m:rPr>
                <m:lit/>
                <m:nor/>
              </m:rPr>
              <m:t xml:space="preserve">gm</m:t>
            </m:r>
            <m:r>
              <m:rPr>
                <m:lit/>
                <m:nor/>
              </m:rPr>
              <m:t xml:space="preserve">-CMD</m:t>
            </m:r>
            <m:r>
              <m:rPr>
                <m:lit/>
                <m:nor/>
              </m:rPr>
              <m:t xml:space="preserve">gm</m:t>
            </m:r>
          </m:e>
        </m:d>
        <m:r>
          <m:t xml:space="preserve">×</m:t>
        </m:r>
        <m:nary>
          <m:naryPr>
            <m:chr m:val="∑"/>
            <m:supHide m:val="1"/>
          </m:naryPr>
          <m:sub>
            <m:r>
              <m:t xml:space="preserve">h</m:t>
            </m:r>
            <m:r>
              <m:t xml:space="preserve">∈</m:t>
            </m:r>
            <m:r>
              <m:rPr>
                <m:lit/>
                <m:nor/>
              </m:rPr>
              <m:t xml:space="preserve">LRHgbe</m:t>
            </m:r>
          </m:sub>
          <m:sup/>
          <m:e>
            <m:r>
              <m:rPr>
                <m:lit/>
                <m:nor/>
              </m:rPr>
              <m:t xml:space="preserve">min</m:t>
            </m:r>
          </m:e>
        </m:nary>
      </m:oMath>
      <w:r>
        <w:rPr/>
        <w:t>;</w:t>
      </w:r>
    </w:p>
    <w:p>
      <w:pPr>
        <w:pStyle w:val="HeadingBody2"/>
        <w:widowControl/>
        <w:ind w:start="709" w:end="0"/>
        <w:rPr>
          <w:u w:val="single"/>
        </w:rPr>
      </w:pPr>
      <w:r>
        <w:rPr>
          <w:u w:val="single"/>
        </w:rPr>
        <w:t>where:</w:t>
      </w:r>
    </w:p>
    <w:p>
      <w:pPr>
        <w:pStyle w:val="HeadingBody2"/>
        <w:widowControl/>
        <w:ind w:start="709" w:end="0"/>
        <w:jc w:val="both"/>
        <w:rPr/>
      </w:pPr>
      <w:r>
        <w:rPr>
          <w:i/>
          <w:iCs/>
        </w:rPr>
        <w:t>UCAP</w:t>
      </w:r>
      <w:r>
        <w:rPr>
          <w:i/>
          <w:iCs/>
          <w:vertAlign w:val="superscript"/>
        </w:rPr>
        <w:t>Q</w:t>
      </w:r>
      <w:r>
        <w:rPr>
          <w:i/>
          <w:iCs/>
          <w:vertAlign w:val="subscript"/>
        </w:rPr>
        <w:t>gm</w:t>
      </w:r>
      <w:r>
        <w:rPr/>
        <w:t xml:space="preserve"> is the Unforced Capacity that Resource </w:t>
      </w:r>
      <w:r>
        <w:rPr>
          <w:i/>
          <w:iCs/>
        </w:rPr>
        <w:t>g</w:t>
      </w:r>
      <w:r>
        <w:rPr/>
        <w:t xml:space="preserve"> is qualified to provide in month </w:t>
      </w:r>
      <w:r>
        <w:rPr>
          <w:i/>
          <w:iCs/>
        </w:rPr>
        <w:t>m</w:t>
      </w:r>
      <w:r>
        <w:rPr/>
        <w:t>;</w:t>
      </w:r>
    </w:p>
    <w:p>
      <w:pPr>
        <w:pStyle w:val="HeadingBody2"/>
        <w:widowControl/>
        <w:ind w:start="709" w:end="0"/>
        <w:jc w:val="both"/>
        <w:rPr/>
      </w:pPr>
      <w:r>
        <w:rPr>
          <w:i/>
          <w:iCs/>
        </w:rPr>
        <w:t>APMD</w:t>
      </w:r>
      <w:r>
        <w:rPr>
          <w:i/>
          <w:iCs/>
          <w:vertAlign w:val="subscript"/>
        </w:rPr>
        <w:t>gm</w:t>
      </w:r>
      <w:r>
        <w:rPr/>
        <w:t xml:space="preserve"> is the Average of Peak Monthly Demands for Resource </w:t>
      </w:r>
      <w:r>
        <w:rPr>
          <w:i/>
          <w:iCs/>
        </w:rPr>
        <w:t>g</w:t>
      </w:r>
      <w:r>
        <w:rPr/>
        <w:t xml:space="preserve"> applicable to month </w:t>
      </w:r>
      <w:r>
        <w:rPr>
          <w:i/>
          <w:iCs/>
        </w:rPr>
        <w:t>m</w:t>
      </w:r>
      <w:r>
        <w:rPr/>
        <w:t xml:space="preserve">, using data submitted in accordance with Attachment K, Special Case Resource Certification; if month </w:t>
      </w:r>
      <w:r>
        <w:rPr>
          <w:i/>
          <w:iCs/>
        </w:rPr>
        <w:t>m</w:t>
      </w:r>
      <w:r>
        <w:rPr/>
        <w:t xml:space="preserve"> is in the Summer Capability Period, the Average of Peak Monthly Demands is calculated using the peak monthly demands for that supplier for the most recent months of June, July, August and September that had occurred as of the end of month </w:t>
      </w:r>
      <w:r>
        <w:rPr>
          <w:i/>
          <w:iCs/>
        </w:rPr>
        <w:t>m</w:t>
      </w:r>
      <w:r>
        <w:rPr/>
        <w:t xml:space="preserve">; and if month </w:t>
      </w:r>
      <w:r>
        <w:rPr>
          <w:i/>
          <w:iCs/>
        </w:rPr>
        <w:t>m</w:t>
      </w:r>
      <w:r>
        <w:rPr/>
        <w:t xml:space="preserve"> is in the Winter Capability Period, the Average of Peak Monthly Demands is calculated using the peak monthly demands for that supplier for the most recent months of December, January, February and March that had occurred as of the end of month </w:t>
      </w:r>
      <w:r>
        <w:rPr>
          <w:i/>
          <w:iCs/>
        </w:rPr>
        <w:t>m</w:t>
      </w:r>
      <w:r>
        <w:rPr/>
        <w:t>;</w:t>
      </w:r>
    </w:p>
    <w:p>
      <w:pPr>
        <w:pStyle w:val="HeadingBody2"/>
        <w:widowControl/>
        <w:ind w:start="709" w:end="0"/>
        <w:jc w:val="both"/>
        <w:rPr/>
      </w:pPr>
      <w:r>
        <w:rPr>
          <w:i/>
          <w:iCs/>
        </w:rPr>
        <w:t>CMD</w:t>
      </w:r>
      <w:r>
        <w:rPr>
          <w:i/>
          <w:iCs/>
          <w:vertAlign w:val="subscript"/>
        </w:rPr>
        <w:t>gm</w:t>
      </w:r>
      <w:r>
        <w:rPr/>
        <w:t xml:space="preserve"> is the Contract Minimum Demand for resource </w:t>
      </w:r>
      <w:r>
        <w:rPr>
          <w:i/>
          <w:iCs/>
        </w:rPr>
        <w:t>g</w:t>
      </w:r>
      <w:r>
        <w:rPr/>
        <w:t xml:space="preserve"> applicable to month </w:t>
      </w:r>
      <w:r>
        <w:rPr>
          <w:i/>
          <w:iCs/>
        </w:rPr>
        <w:t>m</w:t>
      </w:r>
      <w:r>
        <w:rPr/>
        <w:t>, using data submitted in accordance with Attachment K, Special Case Resource Certification;</w:t>
      </w:r>
    </w:p>
    <w:p>
      <w:pPr>
        <w:pStyle w:val="BodyText2"/>
        <w:widowControl/>
        <w:ind w:start="720" w:end="0"/>
        <w:jc w:val="both"/>
        <w:rPr/>
      </w:pPr>
      <w:r>
        <w:rPr>
          <w:i/>
          <w:iCs/>
        </w:rPr>
        <w:t>LRH</w:t>
      </w:r>
      <w:r>
        <w:rPr>
          <w:i/>
          <w:iCs/>
          <w:vertAlign w:val="subscript"/>
        </w:rPr>
        <w:t>gbe</w:t>
      </w:r>
      <w:r>
        <w:rPr/>
        <w:t xml:space="preserve"> is the set of hours in the period beginning at time </w:t>
      </w:r>
      <w:r>
        <w:rPr>
          <w:i/>
          <w:iCs/>
        </w:rPr>
        <w:t>b</w:t>
      </w:r>
      <w:r>
        <w:rPr/>
        <w:t xml:space="preserve"> and ending at time </w:t>
      </w:r>
      <w:r>
        <w:rPr>
          <w:i/>
          <w:iCs/>
        </w:rPr>
        <w:t>e</w:t>
      </w:r>
      <w:r>
        <w:rPr/>
        <w:t xml:space="preserve"> in which Resource </w:t>
      </w:r>
      <w:r>
        <w:rPr>
          <w:i/>
          <w:iCs/>
        </w:rPr>
        <w:t>g</w:t>
      </w:r>
      <w:r>
        <w:rPr/>
        <w:t xml:space="preserve"> was requested to reduce load;</w:t>
      </w:r>
    </w:p>
    <w:p>
      <w:pPr>
        <w:pStyle w:val="BodyText2"/>
        <w:widowControl/>
        <w:ind w:start="720" w:end="0"/>
        <w:jc w:val="both"/>
        <w:rPr/>
      </w:pPr>
      <w:r>
        <w:rPr>
          <w:i/>
          <w:iCs/>
        </w:rPr>
        <w:t>APMD</w:t>
      </w:r>
      <w:r>
        <w:rPr>
          <w:i/>
          <w:iCs/>
          <w:vertAlign w:val="subscript"/>
        </w:rPr>
        <w:t>gh</w:t>
      </w:r>
      <w:r>
        <w:rPr/>
        <w:t xml:space="preserve"> is the applicable Average of Peak Monthly Demands for Resource </w:t>
      </w:r>
      <w:r>
        <w:rPr>
          <w:i/>
          <w:iCs/>
        </w:rPr>
        <w:t>g</w:t>
      </w:r>
      <w:r>
        <w:rPr/>
        <w:t xml:space="preserve"> applicable to hour </w:t>
      </w:r>
      <w:r>
        <w:rPr>
          <w:i/>
          <w:iCs/>
        </w:rPr>
        <w:t>h</w:t>
      </w:r>
      <w:r>
        <w:rPr/>
        <w:t>, using data submitted in accordance with Attachment K, Special Case Resource Certification;</w:t>
      </w:r>
      <w:r>
        <w:rPr>
          <w:i/>
          <w:iCs/>
        </w:rPr>
        <w:t xml:space="preserve"> </w:t>
      </w:r>
      <w:r>
        <w:rPr/>
        <w:t xml:space="preserve">if hour </w:t>
      </w:r>
      <w:r>
        <w:rPr>
          <w:i/>
          <w:iCs/>
        </w:rPr>
        <w:t>h</w:t>
      </w:r>
      <w:r>
        <w:rPr/>
        <w:t xml:space="preserve"> is in the Summer Capability Period, the Average of Peak Monthly Demands is calculated using the peak monthly demands for that supplier for the most recent months of June, July, August and September that had occurred as of time </w:t>
      </w:r>
      <w:r>
        <w:rPr>
          <w:i/>
          <w:iCs/>
        </w:rPr>
        <w:t>e</w:t>
      </w:r>
      <w:r>
        <w:rPr/>
        <w:t>; and if</w:t>
      </w:r>
      <w:r>
        <w:rPr>
          <w:i/>
          <w:iCs/>
        </w:rPr>
        <w:t xml:space="preserve"> </w:t>
      </w:r>
      <w:r>
        <w:rPr/>
        <w:t xml:space="preserve">hour </w:t>
      </w:r>
      <w:r>
        <w:rPr>
          <w:i/>
          <w:iCs/>
        </w:rPr>
        <w:t>h</w:t>
      </w:r>
      <w:r>
        <w:rPr/>
        <w:t xml:space="preserve"> is in the Winter Capability Period, the Average of Peak Monthly Demands is calculated</w:t>
      </w:r>
      <w:r>
        <w:rPr>
          <w:i/>
          <w:iCs/>
        </w:rPr>
        <w:t xml:space="preserve"> </w:t>
      </w:r>
      <w:r>
        <w:rPr/>
        <w:t xml:space="preserve">using the peak monthly demands for that supplier for the most recent months of December, January, February and March that had occurred as of time </w:t>
      </w:r>
      <w:r>
        <w:rPr>
          <w:i/>
          <w:iCs/>
        </w:rPr>
        <w:t>e</w:t>
      </w:r>
      <w:r>
        <w:rPr/>
        <w:t>;</w:t>
      </w:r>
    </w:p>
    <w:p>
      <w:pPr>
        <w:pStyle w:val="BodyText2"/>
        <w:widowControl/>
        <w:ind w:start="720" w:end="0"/>
        <w:jc w:val="both"/>
        <w:rPr/>
      </w:pPr>
      <w:r>
        <w:rPr>
          <w:i/>
          <w:iCs/>
        </w:rPr>
        <w:t>AMD</w:t>
      </w:r>
      <w:r>
        <w:rPr>
          <w:i/>
          <w:iCs/>
          <w:vertAlign w:val="subscript"/>
        </w:rPr>
        <w:t>gh</w:t>
      </w:r>
      <w:r>
        <w:rPr/>
        <w:t xml:space="preserve"> is the Average Minimum Demand for Resource </w:t>
      </w:r>
      <w:r>
        <w:rPr>
          <w:i/>
          <w:iCs/>
        </w:rPr>
        <w:t>g</w:t>
      </w:r>
      <w:r>
        <w:rPr/>
        <w:t xml:space="preserve"> for hour </w:t>
      </w:r>
      <w:r>
        <w:rPr>
          <w:i/>
          <w:iCs/>
        </w:rPr>
        <w:t>h</w:t>
      </w:r>
      <w:r>
        <w:rPr/>
        <w:t>, using data submitted in accordance with Attachment K, Figure 2, Special Case Resource Minimum Load Demonstration;</w:t>
      </w:r>
    </w:p>
    <w:p>
      <w:pPr>
        <w:pStyle w:val="BodyText2"/>
        <w:widowControl/>
        <w:ind w:start="720" w:end="0"/>
        <w:jc w:val="both"/>
        <w:rPr/>
      </w:pPr>
      <w:r>
        <w:rPr>
          <w:i/>
          <w:iCs/>
        </w:rPr>
        <w:t>CMD</w:t>
      </w:r>
      <w:r>
        <w:rPr>
          <w:i/>
          <w:iCs/>
          <w:vertAlign w:val="subscript"/>
        </w:rPr>
        <w:t>gh</w:t>
      </w:r>
      <w:r>
        <w:rPr/>
        <w:t xml:space="preserve"> is the Contract Minimum Demand for Resource </w:t>
      </w:r>
      <w:r>
        <w:rPr>
          <w:i/>
          <w:iCs/>
        </w:rPr>
        <w:t>g</w:t>
      </w:r>
      <w:r>
        <w:rPr/>
        <w:t xml:space="preserve"> applicable to hour </w:t>
      </w:r>
      <w:r>
        <w:rPr>
          <w:i/>
          <w:iCs/>
        </w:rPr>
        <w:t>h</w:t>
      </w:r>
      <w:r>
        <w:rPr/>
        <w:t>, using data submitted in accordance with Attachment K, Special Case Resource Certification;</w:t>
      </w:r>
    </w:p>
    <w:p>
      <w:pPr>
        <w:pStyle w:val="BodyText2"/>
        <w:widowControl/>
        <w:ind w:start="720" w:end="0"/>
        <w:jc w:val="both"/>
        <w:rPr/>
      </w:pPr>
      <w:r>
        <w:rPr>
          <w:i/>
          <w:iCs/>
        </w:rPr>
        <w:t>NLRH</w:t>
      </w:r>
      <w:r>
        <w:rPr>
          <w:i/>
          <w:iCs/>
          <w:vertAlign w:val="subscript"/>
        </w:rPr>
        <w:t>gbe</w:t>
      </w:r>
      <w:r>
        <w:rPr/>
        <w:t xml:space="preserve"> is the number of hours during the period beginning at time </w:t>
      </w:r>
      <w:r>
        <w:rPr>
          <w:i/>
          <w:iCs/>
        </w:rPr>
        <w:t>b</w:t>
      </w:r>
      <w:r>
        <w:rPr/>
        <w:t xml:space="preserve"> and ending at time </w:t>
      </w:r>
      <w:r>
        <w:rPr>
          <w:i/>
          <w:iCs/>
        </w:rPr>
        <w:t>e</w:t>
      </w:r>
      <w:r>
        <w:rPr/>
        <w:t xml:space="preserve"> in which Resource </w:t>
      </w:r>
      <w:r>
        <w:rPr>
          <w:i/>
          <w:iCs/>
        </w:rPr>
        <w:t>g</w:t>
      </w:r>
      <w:r>
        <w:rPr/>
        <w:t xml:space="preserve"> was requested to reduce load;</w:t>
      </w:r>
    </w:p>
    <w:p>
      <w:pPr>
        <w:pStyle w:val="BodyText2"/>
        <w:widowControl/>
        <w:ind w:start="720" w:end="0"/>
        <w:jc w:val="both"/>
        <w:rPr/>
      </w:pPr>
      <w:r>
        <w:rPr>
          <w:i/>
          <w:iCs/>
        </w:rPr>
        <w:t>b</w:t>
      </w:r>
      <w:r>
        <w:rPr/>
        <w:t xml:space="preserve"> is the beginning of the month occurring 14 months before month </w:t>
      </w:r>
      <w:r>
        <w:rPr>
          <w:i/>
          <w:iCs/>
        </w:rPr>
        <w:t>m</w:t>
      </w:r>
      <w:r>
        <w:rPr/>
        <w:t xml:space="preserve">, unless the supplier had not begun at that time to serve as a Special Case Resource available to reduce load, in which case </w:t>
      </w:r>
      <w:r>
        <w:rPr>
          <w:i/>
          <w:iCs/>
        </w:rPr>
        <w:t>b</w:t>
      </w:r>
      <w:r>
        <w:rPr/>
        <w:t xml:space="preserve"> is the time at which that supplier began to serve as a Special Case Resource available to reduce load; and</w:t>
      </w:r>
    </w:p>
    <w:p>
      <w:pPr>
        <w:pStyle w:val="HeadingBody2"/>
        <w:widowControl/>
        <w:ind w:start="720" w:end="0"/>
        <w:jc w:val="both"/>
        <w:rPr/>
      </w:pPr>
      <w:r>
        <w:rPr>
          <w:i/>
          <w:iCs/>
        </w:rPr>
        <w:t>e</w:t>
      </w:r>
      <w:r>
        <w:rPr/>
        <w:t xml:space="preserve"> is the end of the month occurring three months before month </w:t>
      </w:r>
      <w:r>
        <w:rPr>
          <w:i/>
          <w:iCs/>
        </w:rPr>
        <w:t>m</w:t>
      </w:r>
      <w:r>
        <w:rPr/>
        <w:t xml:space="preserve"> (e.g., if month </w:t>
      </w:r>
      <w:r>
        <w:rPr>
          <w:i/>
          <w:iCs/>
        </w:rPr>
        <w:t>m</w:t>
      </w:r>
      <w:r>
        <w:rPr/>
        <w:t xml:space="preserve"> is September 2001, then </w:t>
      </w:r>
      <w:r>
        <w:rPr>
          <w:i/>
          <w:iCs/>
        </w:rPr>
        <w:t>e</w:t>
      </w:r>
      <w:r>
        <w:rPr/>
        <w:t xml:space="preserve"> is the end of June 2001).</w:t>
      </w:r>
    </w:p>
    <w:p>
      <w:pPr>
        <w:pStyle w:val="BodyText"/>
        <w:widowControl/>
        <w:rPr>
          <w:b/>
          <w:bCs/>
        </w:rPr>
      </w:pPr>
      <w:r>
        <w:rPr>
          <w:b/>
          <w:bCs/>
        </w:rPr>
        <w:t>(b)</w:t>
        <w:tab/>
        <w:t>Determining the ICE of the Amount of UCAP Supplied</w:t>
      </w:r>
    </w:p>
    <w:p>
      <w:pPr>
        <w:pStyle w:val="HeadingBody2"/>
        <w:widowControl/>
        <w:ind w:start="709" w:end="0"/>
        <w:rPr/>
      </w:pPr>
      <w:r>
        <w:rPr>
          <w:sz w:val="20"/>
          <w:szCs w:val="20"/>
        </w:rPr>
      </w:r>
      <m:oMath xmlns:m="http://schemas.openxmlformats.org/officeDocument/2006/math">
        <m:sSub>
          <m:e>
            <m:r>
              <m:rPr>
                <m:lit/>
                <m:nor/>
              </m:rPr>
              <m:t xml:space="preserve">ICE</m:t>
            </m:r>
          </m:e>
          <m:sub>
            <m:r>
              <m:rPr>
                <m:lit/>
                <m:nor/>
              </m:rPr>
              <m:t xml:space="preserve">gm</m:t>
            </m:r>
          </m:sub>
        </m:sSub>
        <m:r>
          <m:rPr>
            <m:lit/>
            <m:nor/>
          </m:rPr>
          <m:t xml:space="preserve"> = APMD</m:t>
        </m:r>
        <m:r>
          <m:rPr>
            <m:lit/>
            <m:nor/>
          </m:rPr>
          <m:t xml:space="preserve">gm</m:t>
        </m:r>
        <m:r>
          <m:rPr>
            <m:lit/>
            <m:nor/>
          </m:rPr>
          <m:t xml:space="preserve">-CMD</m:t>
        </m:r>
        <m:r>
          <m:rPr>
            <m:lit/>
            <m:nor/>
          </m:rPr>
          <m:t xml:space="preserve">gm</m:t>
        </m:r>
      </m:oMath>
      <w:r>
        <w:rPr/>
        <w:t>;</w:t>
      </w:r>
    </w:p>
    <w:p>
      <w:pPr>
        <w:pStyle w:val="HeadingBody2"/>
        <w:widowControl/>
        <w:ind w:start="709" w:end="0"/>
        <w:jc w:val="both"/>
        <w:rPr>
          <w:u w:val="single"/>
        </w:rPr>
      </w:pPr>
      <w:r>
        <w:rPr>
          <w:u w:val="single"/>
        </w:rPr>
        <w:t>where:</w:t>
      </w:r>
    </w:p>
    <w:p>
      <w:pPr>
        <w:pStyle w:val="HeadingBody2"/>
        <w:widowControl/>
        <w:ind w:start="709" w:end="0"/>
        <w:jc w:val="both"/>
        <w:rPr/>
      </w:pPr>
      <w:r>
        <w:rPr>
          <w:i/>
          <w:iCs/>
        </w:rPr>
        <w:t>ICE</w:t>
      </w:r>
      <w:r>
        <w:rPr>
          <w:i/>
          <w:iCs/>
          <w:vertAlign w:val="subscript"/>
        </w:rPr>
        <w:t>gm</w:t>
      </w:r>
      <w:r>
        <w:rPr>
          <w:i/>
          <w:iCs/>
        </w:rPr>
        <w:t xml:space="preserve"> </w:t>
      </w:r>
      <w:r>
        <w:rPr/>
        <w:t>is the</w:t>
      </w:r>
      <w:r>
        <w:rPr>
          <w:i/>
          <w:iCs/>
        </w:rPr>
        <w:t xml:space="preserve"> </w:t>
      </w:r>
      <w:r>
        <w:rPr/>
        <w:t xml:space="preserve">Installed Capacity Equivalent of the amount of Unforced Capacity that supplier </w:t>
      </w:r>
      <w:r>
        <w:rPr>
          <w:i/>
          <w:iCs/>
        </w:rPr>
        <w:t>g</w:t>
      </w:r>
      <w:r>
        <w:rPr/>
        <w:t xml:space="preserve"> supplies in month </w:t>
      </w:r>
      <w:r>
        <w:rPr>
          <w:i/>
          <w:iCs/>
        </w:rPr>
        <w:t>m</w:t>
      </w:r>
      <w:r>
        <w:rPr/>
        <w:t>;</w:t>
      </w:r>
    </w:p>
    <w:p>
      <w:pPr>
        <w:pStyle w:val="HeadingBody2"/>
        <w:widowControl/>
        <w:ind w:start="709" w:end="0"/>
        <w:jc w:val="both"/>
        <w:rPr/>
      </w:pPr>
      <w:r>
        <w:rPr>
          <w:i/>
          <w:iCs/>
        </w:rPr>
        <w:t>APMD</w:t>
      </w:r>
      <w:r>
        <w:rPr>
          <w:i/>
          <w:iCs/>
          <w:vertAlign w:val="subscript"/>
        </w:rPr>
        <w:t>gm</w:t>
      </w:r>
      <w:r>
        <w:rPr/>
        <w:t xml:space="preserve"> is the Average of Peak Monthly Demands for Resource </w:t>
      </w:r>
      <w:r>
        <w:rPr>
          <w:i/>
          <w:iCs/>
        </w:rPr>
        <w:t>g</w:t>
      </w:r>
      <w:r>
        <w:rPr/>
        <w:t xml:space="preserve"> applicable to month </w:t>
      </w:r>
      <w:r>
        <w:rPr>
          <w:i/>
          <w:iCs/>
        </w:rPr>
        <w:t>m</w:t>
      </w:r>
      <w:r>
        <w:rPr/>
        <w:t>, using data submitted in accordance with Attachment K, Special Case Resource Certification, as calculated above; and</w:t>
      </w:r>
    </w:p>
    <w:p>
      <w:pPr>
        <w:pStyle w:val="HeadingBody2"/>
        <w:widowControl/>
        <w:ind w:start="709" w:end="0"/>
        <w:jc w:val="both"/>
        <w:rPr/>
      </w:pPr>
      <w:r>
        <w:rPr>
          <w:i/>
          <w:iCs/>
        </w:rPr>
        <w:t>CMD</w:t>
      </w:r>
      <w:r>
        <w:rPr>
          <w:i/>
          <w:iCs/>
          <w:vertAlign w:val="subscript"/>
        </w:rPr>
        <w:t>gm</w:t>
      </w:r>
      <w:r>
        <w:rPr/>
        <w:t xml:space="preserve"> is the Contract Minimum Demand for resource </w:t>
      </w:r>
      <w:r>
        <w:rPr>
          <w:i/>
          <w:iCs/>
        </w:rPr>
        <w:t>g</w:t>
      </w:r>
      <w:r>
        <w:rPr/>
        <w:t xml:space="preserve"> applicable to month </w:t>
      </w:r>
      <w:r>
        <w:rPr>
          <w:i/>
          <w:iCs/>
        </w:rPr>
        <w:t>m</w:t>
      </w:r>
      <w:r>
        <w:rPr/>
        <w:t>, using data submitted in accordance with Attachment K, Special Case Resource Certification.</w:t>
      </w:r>
    </w:p>
    <w:p>
      <w:pPr>
        <w:pStyle w:val="HeadingBody2"/>
        <w:widowControl/>
        <w:ind w:hanging="720" w:end="0"/>
        <w:jc w:val="both"/>
        <w:rPr>
          <w:b/>
          <w:bCs/>
          <w:sz w:val="28"/>
          <w:szCs w:val="28"/>
        </w:rPr>
      </w:pPr>
      <w:r>
        <w:rPr>
          <w:b/>
          <w:bCs/>
          <w:sz w:val="28"/>
          <w:szCs w:val="28"/>
        </w:rPr>
        <w:t>3.4</w:t>
        <w:tab/>
        <w:t>Calculation of UCAP for Winter-Peaking Control Area System Resources</w:t>
      </w:r>
    </w:p>
    <w:p>
      <w:pPr>
        <w:pStyle w:val="BodyText"/>
        <w:widowControl/>
        <w:ind w:hanging="0" w:start="720" w:end="0"/>
        <w:jc w:val="both"/>
        <w:rPr/>
      </w:pPr>
      <w:r>
        <w:rPr/>
        <w:t>The ISO will perform the following calculations at the beginning of each Capability Period to determine the amount of Unforced Capacity that a Control Area System Resource or the purchasers of Unforced Capacity from a Control Area System Resource may supply to the NYCA, if that Control Area experiences peak demand during the winter.  These calculations shall be based on the forecasted CARL Data reported pursuant to Section 4.4.3 of this Manual.</w:t>
      </w:r>
    </w:p>
    <w:p>
      <w:pPr>
        <w:pStyle w:val="BodyText"/>
        <w:widowControl/>
        <w:rPr>
          <w:b/>
          <w:bCs/>
        </w:rPr>
      </w:pPr>
      <w:r>
        <w:rPr>
          <w:b/>
          <w:bCs/>
        </w:rPr>
        <w:t>(a)</w:t>
        <w:tab/>
        <w:t>Determining the Amount of UCAP a Supplier Qualifies to Supply</w:t>
      </w:r>
    </w:p>
    <w:p>
      <w:pPr>
        <w:pStyle w:val="BodyText"/>
        <w:widowControl/>
        <w:ind w:hanging="0" w:start="720" w:end="0"/>
        <w:jc w:val="both"/>
        <w:rPr/>
      </w:pPr>
      <w:r>
        <w:rPr/>
        <w:t>For the Summer Capability Period as well as for the individual months of November and April within the Winter Capability Period, the amount of UCAP such a Control Area System Resource is qualified to supply (UCAP</w:t>
      </w:r>
      <w:r>
        <w:rPr>
          <w:vertAlign w:val="superscript"/>
        </w:rPr>
        <w:t>Q</w:t>
      </w:r>
      <w:r>
        <w:rPr/>
        <w:t>) shall not exceed for all months, or any month, of that Period the minimum monthly value derived from the following formula:</w:t>
      </w:r>
    </w:p>
    <w:p>
      <w:pPr>
        <w:pStyle w:val="BodyText"/>
        <w:widowControl/>
        <w:ind w:start="720" w:end="0"/>
        <w:rPr/>
      </w:pPr>
      <w:r>
        <w:rPr/>
        <w:t>UCAP</w:t>
      </w:r>
      <w:r>
        <w:rPr>
          <w:vertAlign w:val="superscript"/>
        </w:rPr>
        <w:t>Q</w:t>
      </w:r>
      <w:r>
        <w:rPr/>
        <w:t xml:space="preserve"> = (CAP + EP - MPL - EF - PM - FO - OR) </w:t>
      </w:r>
      <w:r>
        <w:rPr>
          <w:rFonts w:ascii="Symbol" w:hAnsi="Symbol"/>
          <w:sz w:val="24"/>
        </w:rPr>
        <w:sym w:font="Symbol" w:char="b7"/>
      </w:r>
      <w:r>
        <w:rPr/>
        <w:t xml:space="preserve"> (1 - CAF)</w:t>
      </w:r>
    </w:p>
    <w:p>
      <w:pPr>
        <w:pStyle w:val="BodyText"/>
        <w:widowControl/>
        <w:ind w:hanging="0" w:start="720" w:end="0"/>
        <w:jc w:val="both"/>
        <w:rPr/>
      </w:pPr>
      <w:r>
        <w:rPr/>
        <w:t>For the months of December to March, which shall be treated as a whole for the purpose of Unforced Capacity calculations, this amount shall not exceed for all months, the value derived from the following formula:</w:t>
      </w:r>
    </w:p>
    <w:p>
      <w:pPr>
        <w:pStyle w:val="BodyText"/>
        <w:widowControl/>
        <w:ind w:start="720" w:end="0"/>
        <w:rPr/>
      </w:pPr>
      <w:r>
        <w:rPr/>
        <w:t>UCAP</w:t>
      </w:r>
      <w:r>
        <w:rPr>
          <w:vertAlign w:val="superscript"/>
        </w:rPr>
        <w:t>Q</w:t>
      </w:r>
      <w:r>
        <w:rPr/>
        <w:t xml:space="preserve"> = (CAP + EP - WPL - EF - PR - PM) </w:t>
      </w:r>
      <w:r>
        <w:rPr>
          <w:rFonts w:ascii="Symbol" w:hAnsi="Symbol"/>
          <w:sz w:val="24"/>
        </w:rPr>
        <w:sym w:font="Symbol" w:char="b7"/>
      </w:r>
      <w:r>
        <w:rPr/>
        <w:t xml:space="preserve"> (1 - AFO) </w:t>
      </w:r>
      <w:r>
        <w:rPr>
          <w:rFonts w:ascii="Symbol" w:hAnsi="Symbol"/>
          <w:sz w:val="24"/>
        </w:rPr>
        <w:sym w:font="Symbol" w:char="b7"/>
      </w:r>
      <w:r>
        <w:rPr/>
        <w:t xml:space="preserve"> (1 - CAF)</w:t>
      </w:r>
    </w:p>
    <w:p>
      <w:pPr>
        <w:pStyle w:val="HeadingBody2"/>
        <w:widowControl/>
        <w:ind w:start="709" w:end="0"/>
        <w:jc w:val="both"/>
        <w:rPr/>
      </w:pPr>
      <w:r>
        <w:rPr/>
        <w:t>With the exception of UCAP</w:t>
      </w:r>
      <w:r>
        <w:rPr>
          <w:vertAlign w:val="superscript"/>
        </w:rPr>
        <w:t>Q</w:t>
      </w:r>
      <w:r>
        <w:rPr/>
        <w:t xml:space="preserve"> and CAF, all acronyms used in this section 3.4 of this Attachment are defined in section 4.4.3 of this Manual.  CAF is the Curtailment Adjustment Factor, reflecting any de-rating in the amount of capacity provided by such a Control Area System Resource if that Control Area will curtail NYCA load with the same priority with which it curtails its own native load.  (See Services Tariff Sec. 5.12.2.)</w:t>
      </w:r>
    </w:p>
    <w:p>
      <w:pPr>
        <w:pStyle w:val="BodyText"/>
        <w:widowControl/>
        <w:rPr>
          <w:b/>
          <w:bCs/>
        </w:rPr>
      </w:pPr>
      <w:r>
        <w:rPr>
          <w:b/>
          <w:bCs/>
        </w:rPr>
        <w:t>(b)</w:t>
        <w:tab/>
        <w:t>Determining the ICE of the Amount of UCAP Supplied</w:t>
      </w:r>
    </w:p>
    <w:p>
      <w:pPr>
        <w:pStyle w:val="HeadingBody2"/>
        <w:widowControl/>
        <w:ind w:start="709" w:end="0"/>
        <w:jc w:val="both"/>
        <w:rPr/>
      </w:pPr>
      <w:r>
        <w:rPr/>
        <w:t>The</w:t>
      </w:r>
      <w:r>
        <w:rPr>
          <w:i/>
          <w:iCs/>
        </w:rPr>
        <w:t xml:space="preserve"> </w:t>
      </w:r>
      <w:r>
        <w:rPr/>
        <w:t>Installed Capacity Equivalent of the amount of Unforced Capacity that a Control Area System Resource supplies in any given month shall be calculated by dividing the amount of Unforced Capacity supplied by that Control Area System Resource by the quantity one minus the Curtailment Adjustment Factor applied to Unforced Capacity sales from that Control Area System Resource.</w:t>
      </w:r>
    </w:p>
    <w:p>
      <w:pPr>
        <w:pStyle w:val="HeadingBody2"/>
        <w:widowControl/>
        <w:spacing w:before="0" w:after="240"/>
        <w:ind w:start="720" w:end="0"/>
        <w:jc w:val="both"/>
        <w:rPr/>
      </w:pPr>
      <w:r>
        <w:rPr/>
      </w:r>
    </w:p>
    <w:sectPr>
      <w:footerReference w:type="default" r:id="rId2"/>
      <w:type w:val="nextPage"/>
      <w:pgSz w:w="12240" w:h="15840"/>
      <w:pgMar w:left="2160" w:right="1440"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pBdr>
        <w:top w:val="single" w:sz="18" w:space="1" w:color="000000"/>
      </w:pBdr>
      <w:tabs>
        <w:tab w:val="clear" w:pos="720"/>
        <w:tab w:val="right" w:pos="8640" w:leader="none"/>
        <w:tab w:val="right" w:pos="12960" w:leader="none"/>
      </w:tabs>
      <w:rPr>
        <w:rFonts w:ascii="Arial" w:hAnsi="Arial" w:eastAsia="Arial" w:cs="Arial"/>
        <w:b/>
        <w:bCs/>
        <w:sz w:val="18"/>
        <w:szCs w:val="18"/>
      </w:rPr>
    </w:pPr>
    <w:r>
      <w:rPr>
        <w:rFonts w:eastAsia="Arial" w:cs="Arial" w:ascii="Arial" w:hAnsi="Arial"/>
        <w:b/>
        <w:bCs/>
        <w:sz w:val="18"/>
        <w:szCs w:val="18"/>
      </w:rPr>
      <w:t>NYISO Installed Capacity Manual</w:t>
    </w:r>
    <w:r>
      <w:rPr>
        <w:rFonts w:eastAsia="Arial" w:cs="Arial" w:ascii="Arial" w:hAnsi="Arial"/>
        <w:b/>
        <w:bCs/>
        <w:sz w:val="16"/>
        <w:szCs w:val="16"/>
      </w:rPr>
      <w:tab/>
    </w:r>
    <w:r>
      <w:rPr>
        <w:rFonts w:eastAsia="Arial" w:cs="Arial" w:ascii="Arial" w:hAnsi="Arial"/>
        <w:b/>
        <w:bCs/>
        <w:sz w:val="18"/>
        <w:szCs w:val="18"/>
      </w:rPr>
      <w:t>L</w:t>
    </w:r>
    <w:r>
      <w:rPr>
        <w:rFonts w:eastAsia="Arial" w:cs="Arial" w:ascii="Arial" w:hAnsi="Arial"/>
        <w:b/>
        <w:bCs/>
        <w:sz w:val="20"/>
        <w:szCs w:val="20"/>
      </w:rPr>
      <w:t>-</w:t>
    </w:r>
    <w:r>
      <w:rPr>
        <w:rStyle w:val="PageNumber"/>
        <w:rFonts w:eastAsia="Arial" w:cs="Arial" w:ascii="Arial" w:hAnsi="Arial"/>
        <w:b/>
        <w:bCs/>
        <w:sz w:val="18"/>
        <w:szCs w:val="18"/>
      </w:rPr>
      <w:fldChar w:fldCharType="begin"/>
    </w:r>
    <w:r>
      <w:rPr>
        <w:rStyle w:val="PageNumber"/>
        <w:sz w:val="18"/>
        <w:b/>
        <w:szCs w:val="18"/>
        <w:bCs/>
        <w:rFonts w:eastAsia="Arial" w:cs="Arial" w:ascii="Arial" w:hAnsi="Arial"/>
      </w:rPr>
      <w:instrText xml:space="preserve"> PAGE </w:instrText>
    </w:r>
    <w:r>
      <w:rPr>
        <w:rStyle w:val="PageNumber"/>
        <w:sz w:val="18"/>
        <w:b/>
        <w:szCs w:val="18"/>
        <w:bCs/>
        <w:rFonts w:eastAsia="Arial" w:cs="Arial" w:ascii="Arial" w:hAnsi="Arial"/>
      </w:rPr>
      <w:fldChar w:fldCharType="separate"/>
    </w:r>
    <w:r>
      <w:rPr>
        <w:rStyle w:val="PageNumber"/>
        <w:sz w:val="18"/>
        <w:b/>
        <w:szCs w:val="18"/>
        <w:bCs/>
        <w:rFonts w:eastAsia="Arial" w:cs="Arial" w:ascii="Arial" w:hAnsi="Arial"/>
      </w:rPr>
      <w:t>11</w:t>
    </w:r>
    <w:r>
      <w:rPr>
        <w:rStyle w:val="PageNumber"/>
        <w:sz w:val="18"/>
        <w:b/>
        <w:szCs w:val="18"/>
        <w:bCs/>
        <w:rFonts w:eastAsia="Arial" w:cs="Arial" w:ascii="Arial" w:hAnsi="Arial"/>
      </w:rPr>
      <w:fldChar w:fldCharType="end"/>
    </w:r>
  </w:p>
  <w:p>
    <w:pPr>
      <w:pStyle w:val="Normal"/>
      <w:widowControl/>
      <w:pBdr>
        <w:top w:val="single" w:sz="18" w:space="1" w:color="000000"/>
      </w:pBdr>
      <w:tabs>
        <w:tab w:val="clear" w:pos="720"/>
        <w:tab w:val="left" w:pos="-864" w:leader="none"/>
      </w:tabs>
      <w:ind w:end="-144"/>
      <w:rPr>
        <w:rFonts w:ascii="Arial" w:hAnsi="Arial" w:eastAsia="Arial" w:cs="Arial"/>
        <w:sz w:val="18"/>
        <w:szCs w:val="18"/>
      </w:rPr>
    </w:pPr>
    <w:r>
      <w:rPr>
        <w:rFonts w:eastAsia="Arial" w:cs="Arial" w:ascii="Arial" w:hAnsi="Arial"/>
        <w:sz w:val="18"/>
        <w:szCs w:val="18"/>
      </w:rPr>
      <w:t>Attachment L:  Revisions in Transmission Owner ICAP Data Submittal</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HeadingBase"/>
    <w:next w:val="HeadingBody1"/>
    <w:qFormat/>
    <w:pPr>
      <w:keepNext w:val="true"/>
      <w:keepLines/>
      <w:numPr>
        <w:ilvl w:val="0"/>
        <w:numId w:val="1"/>
      </w:numPr>
      <w:outlineLvl w:val="0"/>
    </w:pPr>
    <w:rPr>
      <w:rFonts w:ascii="Arial" w:hAnsi="Arial" w:eastAsia="Arial" w:cs="Arial"/>
      <w:b/>
      <w:bCs/>
      <w:sz w:val="48"/>
      <w:szCs w:val="48"/>
    </w:rPr>
  </w:style>
  <w:style w:type="paragraph" w:styleId="Heading2">
    <w:name w:val="heading 2"/>
    <w:basedOn w:val="HeadingBase"/>
    <w:next w:val="HeadingBody2"/>
    <w:qFormat/>
    <w:pPr>
      <w:numPr>
        <w:ilvl w:val="1"/>
        <w:numId w:val="1"/>
      </w:numPr>
      <w:outlineLvl w:val="1"/>
    </w:pPr>
    <w:rPr>
      <w:rFonts w:ascii="Arial" w:hAnsi="Arial" w:eastAsia="Arial" w:cs="Arial"/>
      <w:b/>
      <w:bCs/>
      <w:sz w:val="44"/>
      <w:szCs w:val="44"/>
    </w:rPr>
  </w:style>
  <w:style w:type="paragraph" w:styleId="Heading3">
    <w:name w:val="heading 3"/>
    <w:basedOn w:val="HeadingBase"/>
    <w:next w:val="HeadingBody3"/>
    <w:qFormat/>
    <w:pPr>
      <w:numPr>
        <w:ilvl w:val="2"/>
        <w:numId w:val="1"/>
      </w:numPr>
      <w:outlineLvl w:val="2"/>
    </w:pPr>
    <w:rPr>
      <w:rFonts w:ascii="Arial" w:hAnsi="Arial" w:eastAsia="Arial" w:cs="Arial"/>
      <w:b/>
      <w:bCs/>
      <w:sz w:val="28"/>
      <w:szCs w:val="28"/>
    </w:rPr>
  </w:style>
  <w:style w:type="paragraph" w:styleId="Heading4">
    <w:name w:val="heading 4"/>
    <w:basedOn w:val="HeadingBase"/>
    <w:next w:val="HeadingBody4"/>
    <w:qFormat/>
    <w:pPr>
      <w:numPr>
        <w:ilvl w:val="3"/>
        <w:numId w:val="1"/>
      </w:numPr>
      <w:outlineLvl w:val="3"/>
    </w:pPr>
    <w:rPr>
      <w:rFonts w:ascii="Arial" w:hAnsi="Arial" w:eastAsia="Arial" w:cs="Arial"/>
      <w:b/>
      <w:bCs/>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CommentReference">
    <w:name w:val="Comment Reference"/>
    <w:basedOn w:val="DefaultParagraphFont"/>
    <w:qFormat/>
    <w:rPr>
      <w:color w:val="0000FF"/>
      <w:sz w:val="20"/>
      <w:szCs w:val="20"/>
    </w:rPr>
  </w:style>
  <w:style w:type="character" w:styleId="PageNumber">
    <w:name w:val="page number"/>
    <w:basedOn w:val="DefaultParagraphFont"/>
    <w:rPr>
      <w:sz w:val="20"/>
      <w:szCs w:val="20"/>
    </w:rPr>
  </w:style>
  <w:style w:type="character" w:styleId="EndnoteCharacters">
    <w:name w:val="End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paragraph" w:styleId="Heading">
    <w:name w:val="Heading"/>
    <w:basedOn w:val="Normal"/>
    <w:next w:val="BodyText"/>
    <w:qFormat/>
    <w:pPr>
      <w:jc w:val="center"/>
    </w:pPr>
    <w:rPr>
      <w:sz w:val="40"/>
      <w:szCs w:val="40"/>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bCs/>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bCs/>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sn1">
    <w:name w:val="sn1"/>
    <w:basedOn w:val="Normal"/>
    <w:qFormat/>
    <w:pPr>
      <w:spacing w:before="120" w:after="0"/>
      <w:jc w:val="center"/>
    </w:pPr>
    <w:rPr>
      <w:b/>
      <w:bCs/>
    </w:rPr>
  </w:style>
  <w:style w:type="paragraph" w:styleId="sn2">
    <w:name w:val="sn2"/>
    <w:basedOn w:val="Normal"/>
    <w:qFormat/>
    <w:pPr>
      <w:spacing w:before="0" w:after="120"/>
    </w:pPr>
    <w:rPr/>
  </w:style>
  <w:style w:type="paragraph" w:styleId="sn3">
    <w:name w:val="sn3"/>
    <w:basedOn w:val="Normal"/>
    <w:qFormat/>
    <w:pPr>
      <w:spacing w:before="0" w:after="120"/>
      <w:ind w:hanging="0" w:start="1440" w:end="0"/>
    </w:pPr>
    <w:rPr/>
  </w:style>
  <w:style w:type="paragraph" w:styleId="sn4">
    <w:name w:val="sn4"/>
    <w:basedOn w:val="Normal"/>
    <w:qFormat/>
    <w:pPr>
      <w:spacing w:before="0" w:after="120"/>
      <w:ind w:hanging="0" w:start="2160" w:end="0"/>
    </w:pPr>
    <w:rPr/>
  </w:style>
  <w:style w:type="paragraph" w:styleId="sn5">
    <w:name w:val="sn5"/>
    <w:basedOn w:val="Normal"/>
    <w:qFormat/>
    <w:pPr>
      <w:spacing w:before="0" w:after="120"/>
      <w:ind w:hanging="0" w:start="2880" w:end="0"/>
    </w:pPr>
    <w:rPr/>
  </w:style>
  <w:style w:type="paragraph" w:styleId="AttachTitle">
    <w:name w:val="AttachTitle"/>
    <w:basedOn w:val="Heading2"/>
    <w:qFormat/>
    <w:pPr>
      <w:numPr>
        <w:ilvl w:val="0"/>
        <w:numId w:val="0"/>
      </w:numPr>
      <w:spacing w:before="0" w:after="240"/>
      <w:outlineLvl w:val="9"/>
    </w:pPr>
    <w:rPr/>
  </w:style>
  <w:style w:type="paragraph" w:styleId="Attachment">
    <w:name w:val="Attachment"/>
    <w:basedOn w:val="Heading1"/>
    <w:qFormat/>
    <w:pPr>
      <w:numPr>
        <w:ilvl w:val="0"/>
        <w:numId w:val="0"/>
      </w:numPr>
      <w:spacing w:before="240" w:after="0"/>
      <w:jc w:val="both"/>
      <w:outlineLvl w:val="9"/>
    </w:pPr>
    <w:rPr>
      <w:sz w:val="60"/>
      <w:szCs w:val="60"/>
    </w:rPr>
  </w:style>
  <w:style w:type="paragraph" w:styleId="AttachSubTitle">
    <w:name w:val="AttachSubTitle"/>
    <w:basedOn w:val="Heading3"/>
    <w:qFormat/>
    <w:pPr>
      <w:numPr>
        <w:ilvl w:val="0"/>
        <w:numId w:val="0"/>
      </w:numPr>
      <w:jc w:val="both"/>
      <w:outlineLvl w:val="9"/>
    </w:pPr>
    <w:rPr>
      <w:sz w:val="32"/>
      <w:szCs w:val="32"/>
    </w:rPr>
  </w:style>
  <w:style w:type="paragraph" w:styleId="Attach11">
    <w:name w:val="Attach1.1"/>
    <w:basedOn w:val="Heading4"/>
    <w:qFormat/>
    <w:pPr>
      <w:numPr>
        <w:ilvl w:val="0"/>
        <w:numId w:val="0"/>
      </w:numPr>
      <w:spacing w:before="0" w:after="0"/>
      <w:jc w:val="both"/>
      <w:outlineLvl w:val="9"/>
    </w:pPr>
    <w:rPr/>
  </w:style>
  <w:style w:type="paragraph" w:styleId="BodyTextLeft">
    <w:name w:val="Body Text Left"/>
    <w:basedOn w:val="Normal"/>
    <w:qFormat/>
    <w:pPr>
      <w:spacing w:before="0" w:after="120"/>
      <w:jc w:val="both"/>
    </w:pPr>
    <w:rPr>
      <w:color w:val="000000"/>
    </w:rPr>
  </w:style>
  <w:style w:type="paragraph" w:styleId="Attach">
    <w:name w:val="Attach"/>
    <w:basedOn w:val="Normal"/>
    <w:qFormat/>
    <w:pPr>
      <w:tabs>
        <w:tab w:val="clear" w:pos="720"/>
        <w:tab w:val="right" w:pos="5268" w:leader="none"/>
      </w:tabs>
      <w:jc w:val="center"/>
    </w:pPr>
    <w:rPr>
      <w:b/>
      <w:bCs/>
      <w:sz w:val="36"/>
      <w:szCs w:val="36"/>
    </w:rPr>
  </w:style>
  <w:style w:type="paragraph" w:styleId="AttachF">
    <w:name w:val="AttachF"/>
    <w:basedOn w:val="BodyText"/>
    <w:qFormat/>
    <w:pPr>
      <w:ind w:hanging="0" w:start="0" w:end="0"/>
    </w:pPr>
    <w:rPr>
      <w:b/>
      <w:bCs/>
    </w:rPr>
  </w:style>
  <w:style w:type="paragraph" w:styleId="Definitions">
    <w:name w:val="Definitions"/>
    <w:basedOn w:val="BodyText"/>
    <w:qFormat/>
    <w:pPr>
      <w:tabs>
        <w:tab w:val="clear" w:pos="720"/>
        <w:tab w:val="left" w:pos="2160" w:leader="dot"/>
      </w:tabs>
      <w:ind w:hanging="2160" w:start="2160" w:end="0"/>
      <w:jc w:val="both"/>
    </w:pPr>
    <w:rPr/>
  </w:style>
  <w:style w:type="paragraph" w:styleId="BodyText2">
    <w:name w:val="Body Text 2"/>
    <w:basedOn w:val="Normal"/>
    <w:qFormat/>
    <w:pPr>
      <w:spacing w:before="0" w:after="240"/>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2001-05-22T19:06:00Z</dcterms:created>
  <dc:creator>03738</dc:creator>
  <dc:description/>
  <dc:language>en-CA</dc:language>
  <cp:lastModifiedBy>03738</cp:lastModifiedBy>
  <cp:lastPrinted>2001-04-05T18:32:00Z</cp:lastPrinted>
  <dcterms:modified xsi:type="dcterms:W3CDTF">2001-05-22T19:16:00Z</dcterms:modified>
  <cp:revision>3</cp:revision>
  <dc:subject>clean version of Mike Cadwaladers Att. J. - mkm</dc:subject>
  <dc:title>Clean Att. J for May 24 BIC Meeting</dc:title>
</cp:coreProperties>
</file>