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8"/>
        </w:rPr>
      </w:pPr>
      <w:r>
        <w:rPr>
          <w:sz w:val="28"/>
        </w:rPr>
        <w:t>Clay basin Storage Brief</w:t>
      </w:r>
    </w:p>
    <w:p>
      <w:pPr>
        <w:pStyle w:val="Heading3"/>
        <w:ind w:hanging="0" w:start="0"/>
        <w:rPr/>
      </w:pPr>
      <w:r>
        <w:rPr/>
        <w:t>Total Working Gas Capacity ~ 52 Bcf</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b/>
          <w:bCs/>
        </w:rPr>
        <w:t>Firm Storage Service (FSS)</w:t>
      </w:r>
    </w:p>
    <w:p>
      <w:pPr>
        <w:pStyle w:val="Normal"/>
        <w:rPr>
          <w:rFonts w:ascii="Garamond" w:hAnsi="Garamond" w:cs="Garamond"/>
        </w:rPr>
      </w:pPr>
      <w:r>
        <w:rPr>
          <w:rFonts w:cs="Garamond" w:ascii="Garamond" w:hAnsi="Garamond"/>
        </w:rPr>
      </w:r>
    </w:p>
    <w:p>
      <w:pPr>
        <w:pStyle w:val="Heading1"/>
        <w:ind w:hanging="0" w:start="0"/>
        <w:rPr/>
      </w:pPr>
      <w:r>
        <w:rPr/>
        <w:t>Rates</w:t>
      </w:r>
    </w:p>
    <w:tbl>
      <w:tblPr>
        <w:tblW w:w="8856" w:type="dxa"/>
        <w:jc w:val="start"/>
        <w:tblInd w:w="468" w:type="dxa"/>
        <w:tblLayout w:type="fixed"/>
        <w:tblCellMar>
          <w:top w:w="0" w:type="dxa"/>
          <w:start w:w="108" w:type="dxa"/>
          <w:bottom w:w="0" w:type="dxa"/>
          <w:end w:w="108" w:type="dxa"/>
        </w:tblCellMar>
      </w:tblPr>
      <w:tblGrid>
        <w:gridCol w:w="4428"/>
        <w:gridCol w:w="4428"/>
      </w:tblGrid>
      <w:tr>
        <w:trPr/>
        <w:tc>
          <w:tcPr>
            <w:tcW w:w="4428" w:type="dxa"/>
            <w:tcBorders/>
          </w:tcPr>
          <w:p>
            <w:pPr>
              <w:pStyle w:val="Heading2"/>
              <w:rPr>
                <w:b w:val="false"/>
                <w:bCs w:val="false"/>
              </w:rPr>
            </w:pPr>
            <w:r>
              <w:rPr>
                <w:b w:val="false"/>
                <w:bCs w:val="false"/>
              </w:rPr>
              <w:t>Reservation</w:t>
            </w:r>
          </w:p>
        </w:tc>
        <w:tc>
          <w:tcPr>
            <w:tcW w:w="4428" w:type="dxa"/>
            <w:tcBorders/>
          </w:tcPr>
          <w:p>
            <w:pPr>
              <w:pStyle w:val="Normal"/>
              <w:snapToGrid w:val="false"/>
              <w:rPr>
                <w:rFonts w:ascii="Garamond" w:hAnsi="Garamond" w:cs="Garamond"/>
                <w:b w:val="false"/>
                <w:bCs w:val="false"/>
              </w:rPr>
            </w:pPr>
            <w:r>
              <w:rPr>
                <w:rFonts w:cs="Garamond" w:ascii="Garamond" w:hAnsi="Garamond"/>
                <w:b w:val="false"/>
                <w:bCs w:val="false"/>
              </w:rPr>
            </w:r>
          </w:p>
        </w:tc>
      </w:tr>
      <w:tr>
        <w:trPr/>
        <w:tc>
          <w:tcPr>
            <w:tcW w:w="4428" w:type="dxa"/>
            <w:tcBorders/>
          </w:tcPr>
          <w:p>
            <w:pPr>
              <w:pStyle w:val="Normal"/>
              <w:ind w:start="-108" w:end="0"/>
              <w:rPr>
                <w:rFonts w:ascii="Garamond" w:hAnsi="Garamond" w:cs="Garamond"/>
              </w:rPr>
            </w:pPr>
            <w:r>
              <w:rPr>
                <w:rFonts w:eastAsia="Garamond" w:cs="Garamond" w:ascii="Garamond" w:hAnsi="Garamond"/>
              </w:rPr>
              <w:t xml:space="preserve">  </w:t>
            </w:r>
            <w:r>
              <w:rPr>
                <w:rFonts w:cs="Garamond" w:ascii="Garamond" w:hAnsi="Garamond"/>
              </w:rPr>
              <w:t>Monthly Deliverability</w:t>
            </w:r>
          </w:p>
        </w:tc>
        <w:tc>
          <w:tcPr>
            <w:tcW w:w="4428" w:type="dxa"/>
            <w:tcBorders/>
          </w:tcPr>
          <w:p>
            <w:pPr>
              <w:pStyle w:val="Normal"/>
              <w:rPr>
                <w:rFonts w:ascii="Garamond" w:hAnsi="Garamond" w:cs="Garamond"/>
              </w:rPr>
            </w:pPr>
            <w:r>
              <w:rPr>
                <w:rFonts w:cs="Garamond" w:ascii="Garamond" w:hAnsi="Garamond"/>
              </w:rPr>
              <w:t>2.85338 / Dth</w:t>
            </w:r>
          </w:p>
        </w:tc>
      </w:tr>
      <w:tr>
        <w:trPr/>
        <w:tc>
          <w:tcPr>
            <w:tcW w:w="4428" w:type="dxa"/>
            <w:tcBorders/>
          </w:tcPr>
          <w:p>
            <w:pPr>
              <w:pStyle w:val="Normal"/>
              <w:ind w:start="-108" w:end="0"/>
              <w:rPr>
                <w:rFonts w:ascii="Garamond" w:hAnsi="Garamond" w:cs="Garamond"/>
              </w:rPr>
            </w:pPr>
            <w:r>
              <w:rPr>
                <w:rFonts w:eastAsia="Garamond" w:cs="Garamond" w:ascii="Garamond" w:hAnsi="Garamond"/>
              </w:rPr>
              <w:t xml:space="preserve">  </w:t>
            </w:r>
            <w:r>
              <w:rPr>
                <w:rFonts w:cs="Garamond" w:ascii="Garamond" w:hAnsi="Garamond"/>
              </w:rPr>
              <w:t>Monthly Capacity</w:t>
            </w:r>
          </w:p>
        </w:tc>
        <w:tc>
          <w:tcPr>
            <w:tcW w:w="4428" w:type="dxa"/>
            <w:tcBorders/>
          </w:tcPr>
          <w:p>
            <w:pPr>
              <w:pStyle w:val="Normal"/>
              <w:rPr>
                <w:rFonts w:ascii="Garamond" w:hAnsi="Garamond" w:cs="Garamond"/>
              </w:rPr>
            </w:pPr>
            <w:r>
              <w:rPr>
                <w:rFonts w:cs="Garamond" w:ascii="Garamond" w:hAnsi="Garamond"/>
              </w:rPr>
              <w:t>0.02378 / Dth</w:t>
            </w:r>
          </w:p>
        </w:tc>
      </w:tr>
      <w:tr>
        <w:trPr/>
        <w:tc>
          <w:tcPr>
            <w:tcW w:w="4428" w:type="dxa"/>
            <w:tcBorders/>
          </w:tcPr>
          <w:p>
            <w:pPr>
              <w:pStyle w:val="Heading2"/>
              <w:rPr>
                <w:b w:val="false"/>
                <w:bCs w:val="false"/>
              </w:rPr>
            </w:pPr>
            <w:r>
              <w:rPr>
                <w:b w:val="false"/>
                <w:bCs w:val="false"/>
              </w:rPr>
              <w:t>Usage Charges</w:t>
            </w:r>
          </w:p>
        </w:tc>
        <w:tc>
          <w:tcPr>
            <w:tcW w:w="4428" w:type="dxa"/>
            <w:tcBorders/>
          </w:tcPr>
          <w:p>
            <w:pPr>
              <w:pStyle w:val="Normal"/>
              <w:snapToGrid w:val="false"/>
              <w:rPr>
                <w:rFonts w:ascii="Garamond" w:hAnsi="Garamond" w:cs="Garamond"/>
                <w:b w:val="false"/>
                <w:bCs w:val="false"/>
              </w:rPr>
            </w:pPr>
            <w:r>
              <w:rPr>
                <w:rFonts w:cs="Garamond" w:ascii="Garamond" w:hAnsi="Garamond"/>
                <w:b w:val="false"/>
                <w:bCs w:val="false"/>
              </w:rPr>
            </w:r>
          </w:p>
        </w:tc>
      </w:tr>
      <w:tr>
        <w:trPr/>
        <w:tc>
          <w:tcPr>
            <w:tcW w:w="4428" w:type="dxa"/>
            <w:tcBorders/>
          </w:tcPr>
          <w:p>
            <w:pPr>
              <w:pStyle w:val="Normal"/>
              <w:ind w:start="-108" w:end="0"/>
              <w:rPr>
                <w:rFonts w:ascii="Garamond" w:hAnsi="Garamond" w:cs="Garamond"/>
              </w:rPr>
            </w:pPr>
            <w:r>
              <w:rPr>
                <w:rFonts w:eastAsia="Garamond" w:cs="Garamond" w:ascii="Garamond" w:hAnsi="Garamond"/>
              </w:rPr>
              <w:t xml:space="preserve">  </w:t>
            </w:r>
            <w:r>
              <w:rPr>
                <w:rFonts w:cs="Garamond" w:ascii="Garamond" w:hAnsi="Garamond"/>
              </w:rPr>
              <w:t>Injection</w:t>
            </w:r>
          </w:p>
        </w:tc>
        <w:tc>
          <w:tcPr>
            <w:tcW w:w="4428" w:type="dxa"/>
            <w:tcBorders/>
          </w:tcPr>
          <w:p>
            <w:pPr>
              <w:pStyle w:val="Normal"/>
              <w:rPr>
                <w:rFonts w:ascii="Garamond" w:hAnsi="Garamond" w:cs="Garamond"/>
              </w:rPr>
            </w:pPr>
            <w:r>
              <w:rPr>
                <w:rFonts w:cs="Garamond" w:ascii="Garamond" w:hAnsi="Garamond"/>
              </w:rPr>
              <w:t>0.01268 / Dth</w:t>
            </w:r>
          </w:p>
        </w:tc>
      </w:tr>
      <w:tr>
        <w:trPr/>
        <w:tc>
          <w:tcPr>
            <w:tcW w:w="4428" w:type="dxa"/>
            <w:tcBorders/>
          </w:tcPr>
          <w:p>
            <w:pPr>
              <w:pStyle w:val="Normal"/>
              <w:ind w:start="-108" w:end="0"/>
              <w:rPr>
                <w:rFonts w:ascii="Garamond" w:hAnsi="Garamond" w:cs="Garamond"/>
              </w:rPr>
            </w:pPr>
            <w:r>
              <w:rPr>
                <w:rFonts w:eastAsia="Garamond" w:cs="Garamond" w:ascii="Garamond" w:hAnsi="Garamond"/>
              </w:rPr>
              <w:t xml:space="preserve">  </w:t>
            </w:r>
            <w:r>
              <w:rPr>
                <w:rFonts w:cs="Garamond" w:ascii="Garamond" w:hAnsi="Garamond"/>
              </w:rPr>
              <w:t>Withdrawal</w:t>
            </w:r>
          </w:p>
        </w:tc>
        <w:tc>
          <w:tcPr>
            <w:tcW w:w="4428" w:type="dxa"/>
            <w:tcBorders/>
          </w:tcPr>
          <w:p>
            <w:pPr>
              <w:pStyle w:val="Normal"/>
              <w:rPr>
                <w:rFonts w:ascii="Garamond" w:hAnsi="Garamond" w:cs="Garamond"/>
              </w:rPr>
            </w:pPr>
            <w:r>
              <w:rPr>
                <w:rFonts w:cs="Garamond" w:ascii="Garamond" w:hAnsi="Garamond"/>
              </w:rPr>
              <w:t>0.01781 / Dth</w:t>
            </w:r>
          </w:p>
        </w:tc>
      </w:tr>
      <w:tr>
        <w:trPr/>
        <w:tc>
          <w:tcPr>
            <w:tcW w:w="4428" w:type="dxa"/>
            <w:tcBorders/>
          </w:tcPr>
          <w:p>
            <w:pPr>
              <w:pStyle w:val="Normal"/>
              <w:ind w:start="-108" w:end="0"/>
              <w:rPr>
                <w:rFonts w:ascii="Garamond" w:hAnsi="Garamond" w:cs="Garamond"/>
              </w:rPr>
            </w:pPr>
            <w:r>
              <w:rPr>
                <w:rFonts w:cs="Garamond" w:ascii="Garamond" w:hAnsi="Garamond"/>
              </w:rPr>
              <w:t>Authorized Overrun Charge</w:t>
            </w:r>
          </w:p>
        </w:tc>
        <w:tc>
          <w:tcPr>
            <w:tcW w:w="4428" w:type="dxa"/>
            <w:tcBorders/>
          </w:tcPr>
          <w:p>
            <w:pPr>
              <w:pStyle w:val="Normal"/>
              <w:rPr>
                <w:rFonts w:ascii="Garamond" w:hAnsi="Garamond" w:cs="Garamond"/>
              </w:rPr>
            </w:pPr>
            <w:r>
              <w:rPr>
                <w:rFonts w:cs="Garamond" w:ascii="Garamond" w:hAnsi="Garamond"/>
              </w:rPr>
              <w:t>0.30534 / Dth</w:t>
            </w:r>
          </w:p>
        </w:tc>
      </w:tr>
      <w:tr>
        <w:trPr/>
        <w:tc>
          <w:tcPr>
            <w:tcW w:w="4428" w:type="dxa"/>
            <w:tcBorders/>
          </w:tcPr>
          <w:p>
            <w:pPr>
              <w:pStyle w:val="Normal"/>
              <w:ind w:start="-108" w:end="0"/>
              <w:rPr>
                <w:rFonts w:ascii="Garamond" w:hAnsi="Garamond" w:cs="Garamond"/>
              </w:rPr>
            </w:pPr>
            <w:r>
              <w:rPr>
                <w:rFonts w:cs="Garamond" w:ascii="Garamond" w:hAnsi="Garamond"/>
              </w:rPr>
              <w:t>Fuel</w:t>
            </w:r>
          </w:p>
        </w:tc>
        <w:tc>
          <w:tcPr>
            <w:tcW w:w="4428" w:type="dxa"/>
            <w:tcBorders/>
          </w:tcPr>
          <w:p>
            <w:pPr>
              <w:pStyle w:val="Normal"/>
              <w:rPr>
                <w:rFonts w:ascii="Garamond" w:hAnsi="Garamond" w:cs="Garamond"/>
              </w:rPr>
            </w:pPr>
            <w:r>
              <w:rPr>
                <w:rFonts w:cs="Garamond" w:ascii="Garamond" w:hAnsi="Garamond"/>
              </w:rPr>
              <w:t>actual</w:t>
            </w:r>
          </w:p>
        </w:tc>
      </w:tr>
      <w:tr>
        <w:trPr/>
        <w:tc>
          <w:tcPr>
            <w:tcW w:w="4428" w:type="dxa"/>
            <w:tcBorders/>
          </w:tcPr>
          <w:p>
            <w:pPr>
              <w:pStyle w:val="Normal"/>
              <w:snapToGrid w:val="false"/>
              <w:ind w:start="-108" w:end="0"/>
              <w:rPr>
                <w:rFonts w:ascii="Garamond" w:hAnsi="Garamond" w:cs="Garamond"/>
              </w:rPr>
            </w:pPr>
            <w:r>
              <w:rPr>
                <w:rFonts w:cs="Garamond" w:ascii="Garamond" w:hAnsi="Garamond"/>
              </w:rPr>
            </w:r>
          </w:p>
        </w:tc>
        <w:tc>
          <w:tcPr>
            <w:tcW w:w="4428" w:type="dxa"/>
            <w:tcBorders/>
          </w:tcPr>
          <w:p>
            <w:pPr>
              <w:pStyle w:val="Normal"/>
              <w:snapToGrid w:val="false"/>
              <w:rPr>
                <w:rFonts w:ascii="Garamond" w:hAnsi="Garamond" w:cs="Garamond"/>
              </w:rPr>
            </w:pPr>
            <w:r>
              <w:rPr>
                <w:rFonts w:cs="Garamond" w:ascii="Garamond" w:hAnsi="Garamond"/>
              </w:rPr>
            </w:r>
          </w:p>
        </w:tc>
      </w:tr>
    </w:tbl>
    <w:p>
      <w:pPr>
        <w:pStyle w:val="Normal"/>
        <w:rPr>
          <w:rFonts w:ascii="Garamond" w:hAnsi="Garamond" w:cs="Garamond"/>
        </w:rPr>
      </w:pPr>
      <w:r>
        <w:rPr>
          <w:rFonts w:cs="Garamond" w:ascii="Garamond" w:hAnsi="Garamond"/>
        </w:rPr>
      </w:r>
    </w:p>
    <w:p>
      <w:pPr>
        <w:pStyle w:val="Normal"/>
        <w:numPr>
          <w:ilvl w:val="0"/>
          <w:numId w:val="4"/>
        </w:numPr>
        <w:rPr>
          <w:rFonts w:ascii="Garamond" w:hAnsi="Garamond" w:cs="Garamond"/>
        </w:rPr>
      </w:pPr>
      <w:r>
        <w:rPr>
          <w:rFonts w:cs="Garamond" w:ascii="Garamond" w:hAnsi="Garamond"/>
          <w:b/>
          <w:bCs/>
        </w:rPr>
        <w:t>Monthly deliverability</w:t>
      </w:r>
      <w:r>
        <w:rPr>
          <w:rFonts w:cs="Garamond" w:ascii="Garamond" w:hAnsi="Garamond"/>
        </w:rPr>
        <w:t xml:space="preserve"> charge on each Dth of shipper’s minimum required deliverability (MRD) quantity as stated in shipper’s storage service agreement.</w:t>
      </w:r>
    </w:p>
    <w:p>
      <w:pPr>
        <w:pStyle w:val="Normal"/>
        <w:numPr>
          <w:ilvl w:val="0"/>
          <w:numId w:val="4"/>
        </w:numPr>
        <w:rPr>
          <w:rFonts w:ascii="Garamond" w:hAnsi="Garamond" w:cs="Garamond"/>
        </w:rPr>
      </w:pPr>
      <w:r>
        <w:rPr>
          <w:rFonts w:cs="Garamond" w:ascii="Garamond" w:hAnsi="Garamond"/>
          <w:b/>
          <w:bCs/>
        </w:rPr>
        <w:t>Monthly inventory capacity</w:t>
      </w:r>
      <w:r>
        <w:rPr>
          <w:rFonts w:cs="Garamond" w:ascii="Garamond" w:hAnsi="Garamond"/>
        </w:rPr>
        <w:t xml:space="preserve"> charge on each Dth of shipper’s annual working gas quantity as stated in shipper’s storage service agreement</w:t>
      </w:r>
    </w:p>
    <w:p>
      <w:pPr>
        <w:pStyle w:val="Normal"/>
        <w:numPr>
          <w:ilvl w:val="0"/>
          <w:numId w:val="4"/>
        </w:numPr>
        <w:rPr>
          <w:rFonts w:ascii="Garamond" w:hAnsi="Garamond" w:cs="Garamond"/>
        </w:rPr>
      </w:pPr>
      <w:r>
        <w:rPr>
          <w:rFonts w:cs="Garamond" w:ascii="Garamond" w:hAnsi="Garamond"/>
          <w:b/>
          <w:bCs/>
        </w:rPr>
        <w:t>Injection/withdrawal</w:t>
      </w:r>
      <w:r>
        <w:rPr>
          <w:rFonts w:cs="Garamond" w:ascii="Garamond" w:hAnsi="Garamond"/>
        </w:rPr>
        <w:t xml:space="preserve"> charges are purely volumetric and based on actual activity</w:t>
      </w:r>
    </w:p>
    <w:p>
      <w:pPr>
        <w:pStyle w:val="Normal"/>
        <w:numPr>
          <w:ilvl w:val="0"/>
          <w:numId w:val="4"/>
        </w:numPr>
        <w:rPr>
          <w:rFonts w:ascii="Garamond" w:hAnsi="Garamond" w:cs="Garamond"/>
        </w:rPr>
      </w:pPr>
      <w:r>
        <w:rPr>
          <w:rFonts w:cs="Garamond" w:ascii="Garamond" w:hAnsi="Garamond"/>
          <w:b/>
          <w:bCs/>
        </w:rPr>
        <w:t>Overrun Storage Service</w:t>
      </w:r>
      <w:r>
        <w:rPr>
          <w:rFonts w:cs="Garamond" w:ascii="Garamond" w:hAnsi="Garamond"/>
        </w:rPr>
        <w:t xml:space="preserve"> – “Shipper may request Questar to withdraw for delivery, quantities of gas in excess of that quantity of gas allowed by the daily withdrawal allocations”</w:t>
      </w:r>
    </w:p>
    <w:p>
      <w:pPr>
        <w:pStyle w:val="Normal"/>
        <w:numPr>
          <w:ilvl w:val="0"/>
          <w:numId w:val="4"/>
        </w:numPr>
        <w:rPr>
          <w:rFonts w:ascii="Garamond" w:hAnsi="Garamond" w:cs="Garamond"/>
        </w:rPr>
      </w:pPr>
      <w:r>
        <w:rPr>
          <w:rFonts w:cs="Garamond" w:ascii="Garamond" w:hAnsi="Garamond"/>
          <w:b/>
          <w:bCs/>
        </w:rPr>
        <w:t xml:space="preserve">Fuel </w:t>
      </w:r>
      <w:r>
        <w:rPr>
          <w:rFonts w:cs="Garamond" w:ascii="Garamond" w:hAnsi="Garamond"/>
        </w:rPr>
        <w:t>– Shipper shall reimburse Questar in kind for fuel use</w:t>
      </w:r>
    </w:p>
    <w:p>
      <w:pPr>
        <w:pStyle w:val="Normal"/>
        <w:numPr>
          <w:ilvl w:val="1"/>
          <w:numId w:val="4"/>
        </w:numPr>
        <w:rPr>
          <w:rFonts w:ascii="Garamond" w:hAnsi="Garamond" w:cs="Garamond"/>
        </w:rPr>
      </w:pPr>
      <w:r>
        <w:rPr>
          <w:rFonts w:cs="Garamond" w:ascii="Garamond" w:hAnsi="Garamond"/>
        </w:rPr>
        <w:t>Utility Fuel – allocated based on capacity</w:t>
      </w:r>
    </w:p>
    <w:p>
      <w:pPr>
        <w:pStyle w:val="Normal"/>
        <w:numPr>
          <w:ilvl w:val="1"/>
          <w:numId w:val="4"/>
        </w:numPr>
        <w:rPr>
          <w:rFonts w:ascii="Garamond" w:hAnsi="Garamond" w:cs="Garamond"/>
        </w:rPr>
      </w:pPr>
      <w:r>
        <w:rPr>
          <w:rFonts w:cs="Garamond" w:ascii="Garamond" w:hAnsi="Garamond"/>
        </w:rPr>
        <w:t>Compressor and Dehydration Fuel – allocated based on actual inj./withdraw</w:t>
      </w:r>
    </w:p>
    <w:p>
      <w:pPr>
        <w:pStyle w:val="Normal"/>
        <w:numPr>
          <w:ilvl w:val="0"/>
          <w:numId w:val="4"/>
        </w:numPr>
        <w:rPr>
          <w:rFonts w:ascii="Garamond" w:hAnsi="Garamond" w:cs="Garamond"/>
        </w:rPr>
      </w:pPr>
      <w:r>
        <w:rPr>
          <w:rFonts w:cs="Garamond" w:ascii="Garamond" w:hAnsi="Garamond"/>
        </w:rPr>
        <w:t>Other Charges – Shipper may be incur other charges such as additional facilities charge, ACA charge, marketing fees (if applicable), and any other FERC approved charges</w:t>
      </w:r>
    </w:p>
    <w:p>
      <w:pPr>
        <w:pStyle w:val="Normal"/>
        <w:numPr>
          <w:ilvl w:val="0"/>
          <w:numId w:val="4"/>
        </w:numPr>
        <w:rPr>
          <w:rFonts w:ascii="Garamond" w:hAnsi="Garamond" w:cs="Garamond"/>
        </w:rPr>
      </w:pPr>
      <w:r>
        <w:rPr>
          <w:rFonts w:cs="Garamond" w:ascii="Garamond" w:hAnsi="Garamond"/>
          <w:b/>
          <w:bCs/>
        </w:rPr>
        <w:t>Transportation</w:t>
      </w:r>
      <w:r>
        <w:rPr>
          <w:rFonts w:cs="Garamond" w:ascii="Garamond" w:hAnsi="Garamond"/>
        </w:rPr>
        <w:t xml:space="preserve"> service is arranged separately</w:t>
      </w:r>
    </w:p>
    <w:p>
      <w:pPr>
        <w:pStyle w:val="Normal"/>
        <w:ind w:start="360" w:end="0"/>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r>
    </w:p>
    <w:p>
      <w:pPr>
        <w:pStyle w:val="Heading1"/>
        <w:ind w:hanging="0" w:start="0"/>
        <w:rPr/>
      </w:pPr>
      <w:r>
        <w:rPr/>
        <w:t>General Terms and Conditions</w:t>
      </w:r>
    </w:p>
    <w:p>
      <w:pPr>
        <w:pStyle w:val="Normal"/>
        <w:numPr>
          <w:ilvl w:val="0"/>
          <w:numId w:val="4"/>
        </w:numPr>
        <w:rPr>
          <w:rFonts w:ascii="Garamond" w:hAnsi="Garamond" w:cs="Garamond"/>
        </w:rPr>
      </w:pPr>
      <w:r>
        <w:rPr>
          <w:rFonts w:cs="Garamond" w:ascii="Garamond" w:hAnsi="Garamond"/>
        </w:rPr>
        <w:t>Selected Definitions</w:t>
      </w:r>
    </w:p>
    <w:p>
      <w:pPr>
        <w:pStyle w:val="Normal"/>
        <w:numPr>
          <w:ilvl w:val="1"/>
          <w:numId w:val="4"/>
        </w:numPr>
        <w:rPr>
          <w:rFonts w:ascii="Garamond" w:hAnsi="Garamond" w:cs="Garamond"/>
        </w:rPr>
      </w:pPr>
      <w:r>
        <w:rPr>
          <w:rFonts w:cs="Garamond" w:ascii="Garamond" w:hAnsi="Garamond"/>
        </w:rPr>
        <w:t>Annual working gas – the volume and associated thermal quantity of natural gas, determined by a Btu conversion factor of 1.065, stated in shipper’s storage service agreement…</w:t>
      </w:r>
    </w:p>
    <w:p>
      <w:pPr>
        <w:pStyle w:val="Normal"/>
        <w:numPr>
          <w:ilvl w:val="1"/>
          <w:numId w:val="4"/>
        </w:numPr>
        <w:rPr>
          <w:rFonts w:ascii="Garamond" w:hAnsi="Garamond" w:cs="Garamond"/>
        </w:rPr>
      </w:pPr>
      <w:r>
        <w:rPr>
          <w:rFonts w:cs="Garamond" w:ascii="Garamond" w:hAnsi="Garamond"/>
        </w:rPr>
        <w:t>Average monthly working gas balance – the sum of shipper’s daily quantities of working gas held in storage by Questar divided by the number of days in that particular month.</w:t>
      </w:r>
    </w:p>
    <w:p>
      <w:pPr>
        <w:pStyle w:val="Normal"/>
        <w:numPr>
          <w:ilvl w:val="1"/>
          <w:numId w:val="4"/>
        </w:numPr>
        <w:rPr>
          <w:rFonts w:ascii="Garamond" w:hAnsi="Garamond" w:cs="Garamond"/>
        </w:rPr>
      </w:pPr>
      <w:r>
        <w:rPr>
          <w:rFonts w:cs="Garamond" w:ascii="Garamond" w:hAnsi="Garamond"/>
        </w:rPr>
        <w:t>Injection period – May 1 to October 31</w:t>
      </w:r>
    </w:p>
    <w:p>
      <w:pPr>
        <w:pStyle w:val="Normal"/>
        <w:numPr>
          <w:ilvl w:val="1"/>
          <w:numId w:val="4"/>
        </w:numPr>
        <w:rPr>
          <w:rFonts w:ascii="Garamond" w:hAnsi="Garamond" w:cs="Garamond"/>
        </w:rPr>
      </w:pPr>
      <w:r>
        <w:rPr>
          <w:rFonts w:cs="Garamond" w:ascii="Garamond" w:hAnsi="Garamond"/>
        </w:rPr>
        <w:t>Minimum required deliverability (MRD) – the minimum withdrawal rate of quantity of gas that shipper may withdraw on a firm basis each day up to and including the last day of the withdrawal period, subject to shipper having working gas remaining in storage.  It shall be determined by dividing shipper’s annual working gas by the product of 150 days and the decimal equivalent of an 80% load factor, e.g.:</w:t>
      </w:r>
    </w:p>
    <w:p>
      <w:pPr>
        <w:pStyle w:val="Normal"/>
        <w:ind w:start="2880" w:end="0"/>
        <w:rPr>
          <w:rFonts w:ascii="Garamond" w:hAnsi="Garamond" w:cs="Garamond"/>
        </w:rPr>
      </w:pPr>
      <w:r>
        <w:rPr>
          <w:rFonts w:cs="Garamond" w:ascii="Garamond" w:hAnsi="Garamond"/>
        </w:rPr>
        <w:t xml:space="preserve">MRD = </w:t>
        <w:tab/>
      </w:r>
      <w:r>
        <w:rPr>
          <w:rFonts w:cs="Garamond" w:ascii="Garamond" w:hAnsi="Garamond"/>
          <w:u w:val="single"/>
        </w:rPr>
        <w:t>Annual Working Gas</w:t>
      </w:r>
    </w:p>
    <w:p>
      <w:pPr>
        <w:pStyle w:val="Normal"/>
        <w:ind w:start="2880" w:end="0"/>
        <w:rPr>
          <w:rFonts w:ascii="Garamond" w:hAnsi="Garamond" w:cs="Garamond"/>
        </w:rPr>
      </w:pPr>
      <w:r>
        <w:rPr>
          <w:rFonts w:cs="Garamond" w:ascii="Garamond" w:hAnsi="Garamond"/>
        </w:rPr>
        <w:tab/>
        <w:tab/>
        <w:t>150 days x (.80)</w:t>
      </w:r>
    </w:p>
    <w:p>
      <w:pPr>
        <w:pStyle w:val="Normal"/>
        <w:numPr>
          <w:ilvl w:val="1"/>
          <w:numId w:val="4"/>
        </w:numPr>
        <w:rPr>
          <w:rFonts w:ascii="Garamond" w:hAnsi="Garamond" w:cs="Garamond"/>
        </w:rPr>
      </w:pPr>
      <w:r>
        <w:rPr>
          <w:rFonts w:cs="Garamond" w:ascii="Garamond" w:hAnsi="Garamond"/>
        </w:rPr>
        <w:t>Overrun storage – the quantity of gas that a firm storage shipper requests and Questar agrees to withdraw out of storage, on any day, that is in excess of Shippers allocated quantity</w:t>
      </w:r>
    </w:p>
    <w:p>
      <w:pPr>
        <w:pStyle w:val="Normal"/>
        <w:numPr>
          <w:ilvl w:val="1"/>
          <w:numId w:val="4"/>
        </w:numPr>
        <w:rPr>
          <w:rFonts w:ascii="Garamond" w:hAnsi="Garamond" w:cs="Garamond"/>
        </w:rPr>
      </w:pPr>
      <w:r>
        <w:rPr>
          <w:rFonts w:cs="Garamond" w:ascii="Garamond" w:hAnsi="Garamond"/>
        </w:rPr>
        <w:t>Withdrawal period – November 1 to March 31</w:t>
      </w:r>
    </w:p>
    <w:p>
      <w:pPr>
        <w:pStyle w:val="Normal"/>
        <w:numPr>
          <w:ilvl w:val="0"/>
          <w:numId w:val="4"/>
        </w:numPr>
        <w:rPr>
          <w:rFonts w:ascii="Garamond" w:hAnsi="Garamond" w:cs="Garamond"/>
        </w:rPr>
      </w:pPr>
      <w:r>
        <w:rPr>
          <w:rFonts w:cs="Garamond" w:ascii="Garamond" w:hAnsi="Garamond"/>
        </w:rPr>
        <w:t>Injection Allocation</w:t>
      </w:r>
    </w:p>
    <w:p>
      <w:pPr>
        <w:pStyle w:val="Normal"/>
        <w:numPr>
          <w:ilvl w:val="1"/>
          <w:numId w:val="4"/>
        </w:numPr>
        <w:rPr>
          <w:rFonts w:ascii="Garamond" w:hAnsi="Garamond" w:cs="Garamond"/>
        </w:rPr>
      </w:pPr>
      <w:r>
        <w:rPr>
          <w:rFonts w:cs="Garamond" w:ascii="Garamond" w:hAnsi="Garamond"/>
        </w:rPr>
        <w:t>Injection Allocation = (X/Y) * Z</w:t>
      </w:r>
    </w:p>
    <w:p>
      <w:pPr>
        <w:pStyle w:val="Normal"/>
        <w:ind w:start="1440" w:end="0"/>
        <w:rPr>
          <w:rFonts w:ascii="Garamond" w:hAnsi="Garamond" w:cs="Garamond"/>
        </w:rPr>
      </w:pPr>
      <w:r>
        <w:rPr>
          <w:rFonts w:cs="Garamond" w:ascii="Garamond" w:hAnsi="Garamond"/>
        </w:rPr>
      </w:r>
    </w:p>
    <w:p>
      <w:pPr>
        <w:pStyle w:val="Normal"/>
        <w:ind w:start="1440" w:end="0"/>
        <w:rPr>
          <w:rFonts w:ascii="Garamond" w:hAnsi="Garamond" w:cs="Garamond"/>
        </w:rPr>
      </w:pPr>
      <w:r>
        <w:rPr>
          <w:rFonts w:cs="Garamond" w:ascii="Garamond" w:hAnsi="Garamond"/>
        </w:rPr>
        <w:t>X = Firm shipper’s annual working gas</w:t>
      </w:r>
    </w:p>
    <w:p>
      <w:pPr>
        <w:pStyle w:val="Normal"/>
        <w:ind w:start="1440" w:end="0"/>
        <w:rPr>
          <w:rFonts w:ascii="Garamond" w:hAnsi="Garamond" w:cs="Garamond"/>
        </w:rPr>
      </w:pPr>
      <w:r>
        <w:rPr>
          <w:rFonts w:cs="Garamond" w:ascii="Garamond" w:hAnsi="Garamond"/>
        </w:rPr>
        <w:t>Y = Sum of the annual working gas of all firm shippers (includes Qeustar reserved capacity)</w:t>
      </w:r>
    </w:p>
    <w:p>
      <w:pPr>
        <w:pStyle w:val="Normal"/>
        <w:ind w:start="1440" w:end="0"/>
        <w:rPr>
          <w:rFonts w:ascii="Garamond" w:hAnsi="Garamond" w:cs="Garamond"/>
        </w:rPr>
      </w:pPr>
      <w:r>
        <w:rPr>
          <w:rFonts w:cs="Garamond" w:ascii="Garamond" w:hAnsi="Garamond"/>
        </w:rPr>
        <w:t>Z = Available injection capacity on any day*</w:t>
      </w:r>
    </w:p>
    <w:p>
      <w:pPr>
        <w:pStyle w:val="Normal"/>
        <w:ind w:start="1440" w:end="0"/>
        <w:rPr/>
      </w:pPr>
      <w:r>
        <w:rPr>
          <w:rFonts w:cs="Garamond" w:ascii="Garamond" w:hAnsi="Garamond"/>
          <w:i/>
          <w:iCs/>
        </w:rPr>
        <w:t>*</w:t>
      </w:r>
      <w:r>
        <w:rPr>
          <w:rFonts w:cs="Garamond" w:ascii="Garamond" w:hAnsi="Garamond"/>
          <w:i/>
          <w:iCs/>
          <w:sz w:val="20"/>
        </w:rPr>
        <w:t>Available injection capacity will vary depending upon operating conditions; principally, compressor suction and discharge pressures and the designated main line receipt point</w:t>
      </w:r>
    </w:p>
    <w:p>
      <w:pPr>
        <w:pStyle w:val="Normal"/>
        <w:ind w:start="1440" w:end="0"/>
        <w:rPr>
          <w:rFonts w:ascii="Garamond" w:hAnsi="Garamond" w:cs="Garamond"/>
          <w:i/>
          <w:i/>
          <w:iCs/>
          <w:sz w:val="20"/>
        </w:rPr>
      </w:pPr>
      <w:r>
        <w:rPr>
          <w:rFonts w:cs="Garamond" w:ascii="Garamond" w:hAnsi="Garamond"/>
          <w:i/>
          <w:iCs/>
          <w:sz w:val="20"/>
        </w:rPr>
      </w:r>
    </w:p>
    <w:p>
      <w:pPr>
        <w:pStyle w:val="Normal"/>
        <w:numPr>
          <w:ilvl w:val="1"/>
          <w:numId w:val="4"/>
        </w:numPr>
        <w:rPr>
          <w:rFonts w:ascii="Garamond" w:hAnsi="Garamond" w:cs="Garamond"/>
        </w:rPr>
      </w:pPr>
      <w:r>
        <w:rPr>
          <w:rFonts w:cs="Garamond" w:ascii="Garamond" w:hAnsi="Garamond"/>
        </w:rPr>
        <w:t>If any FSS shipper elects, on any day, not to utilize all or any portion of its injection allocation, the amount not used shall be allocated to all remaining FSS shippers that desire additional injection allocation by using the above formula as modified to exclude the data related to those shippers who have received all of the injection capacity that was requested by them.</w:t>
      </w:r>
    </w:p>
    <w:p>
      <w:pPr>
        <w:pStyle w:val="Normal"/>
        <w:numPr>
          <w:ilvl w:val="0"/>
          <w:numId w:val="4"/>
        </w:numPr>
        <w:rPr>
          <w:rFonts w:ascii="Garamond" w:hAnsi="Garamond" w:cs="Garamond"/>
        </w:rPr>
      </w:pPr>
      <w:r>
        <w:rPr>
          <w:rFonts w:cs="Garamond" w:ascii="Garamond" w:hAnsi="Garamond"/>
        </w:rPr>
        <w:t>Withdrawal Allocation</w:t>
      </w:r>
    </w:p>
    <w:p>
      <w:pPr>
        <w:pStyle w:val="Normal"/>
        <w:numPr>
          <w:ilvl w:val="1"/>
          <w:numId w:val="4"/>
        </w:numPr>
        <w:rPr>
          <w:rFonts w:ascii="Garamond" w:hAnsi="Garamond" w:cs="Garamond"/>
        </w:rPr>
      </w:pPr>
      <w:r>
        <w:rPr>
          <w:rFonts w:cs="Garamond" w:ascii="Garamond" w:hAnsi="Garamond"/>
        </w:rPr>
        <w:t>Firm Withdrawal Allocation = [(A/B)*(C-D)] + E</w:t>
      </w:r>
    </w:p>
    <w:p>
      <w:pPr>
        <w:pStyle w:val="Normal"/>
        <w:rPr>
          <w:rFonts w:ascii="Garamond" w:hAnsi="Garamond" w:cs="Garamond"/>
        </w:rPr>
      </w:pPr>
      <w:r>
        <w:rPr>
          <w:rFonts w:cs="Garamond" w:ascii="Garamond" w:hAnsi="Garamond"/>
        </w:rPr>
      </w:r>
    </w:p>
    <w:p>
      <w:pPr>
        <w:pStyle w:val="Normal"/>
        <w:ind w:start="1440" w:end="0"/>
        <w:rPr>
          <w:rFonts w:ascii="Garamond" w:hAnsi="Garamond" w:cs="Garamond"/>
        </w:rPr>
      </w:pPr>
      <w:r>
        <w:rPr>
          <w:rFonts w:cs="Garamond" w:ascii="Garamond" w:hAnsi="Garamond"/>
        </w:rPr>
        <w:t>A = Firm shipper’s working gas remaining in storage</w:t>
      </w:r>
    </w:p>
    <w:p>
      <w:pPr>
        <w:pStyle w:val="Normal"/>
        <w:ind w:start="1440" w:end="0"/>
        <w:rPr>
          <w:rFonts w:ascii="Garamond" w:hAnsi="Garamond" w:cs="Garamond"/>
        </w:rPr>
      </w:pPr>
      <w:r>
        <w:rPr>
          <w:rFonts w:cs="Garamond" w:ascii="Garamond" w:hAnsi="Garamond"/>
        </w:rPr>
        <w:t>B = Total working gas remaining in storage for all firm shippers</w:t>
      </w:r>
    </w:p>
    <w:p>
      <w:pPr>
        <w:pStyle w:val="Normal"/>
        <w:ind w:start="1440" w:end="0"/>
        <w:rPr>
          <w:rFonts w:ascii="Garamond" w:hAnsi="Garamond" w:cs="Garamond"/>
        </w:rPr>
      </w:pPr>
      <w:r>
        <w:rPr>
          <w:rFonts w:cs="Garamond" w:ascii="Garamond" w:hAnsi="Garamond"/>
        </w:rPr>
        <w:t>C = Maximum possible reservoir deliverability attributable to the sum of cushion and firm shipper’s working gas inventory</w:t>
      </w:r>
    </w:p>
    <w:p>
      <w:pPr>
        <w:pStyle w:val="Normal"/>
        <w:ind w:start="1440" w:end="0"/>
        <w:rPr>
          <w:rFonts w:ascii="Garamond" w:hAnsi="Garamond" w:cs="Garamond"/>
        </w:rPr>
      </w:pPr>
      <w:r>
        <w:rPr>
          <w:rFonts w:cs="Garamond" w:ascii="Garamond" w:hAnsi="Garamond"/>
        </w:rPr>
        <w:t>D = Sum of firm shipper’s minimum required deliverability</w:t>
      </w:r>
    </w:p>
    <w:p>
      <w:pPr>
        <w:pStyle w:val="Normal"/>
        <w:ind w:start="1440" w:end="0"/>
        <w:rPr>
          <w:rFonts w:ascii="Garamond" w:hAnsi="Garamond" w:cs="Garamond"/>
        </w:rPr>
      </w:pPr>
      <w:r>
        <w:rPr>
          <w:rFonts w:cs="Garamond" w:ascii="Garamond" w:hAnsi="Garamond"/>
        </w:rPr>
        <w:t>E = Firm shipper’s minimum required deliverability</w:t>
      </w:r>
    </w:p>
    <w:p>
      <w:pPr>
        <w:pStyle w:val="Normal"/>
        <w:ind w:start="1440" w:end="0"/>
        <w:rPr>
          <w:rFonts w:ascii="Garamond" w:hAnsi="Garamond" w:cs="Garamond"/>
        </w:rPr>
      </w:pPr>
      <w:r>
        <w:rPr>
          <w:rFonts w:cs="Garamond" w:ascii="Garamond" w:hAnsi="Garamond"/>
        </w:rPr>
      </w:r>
    </w:p>
    <w:p>
      <w:pPr>
        <w:pStyle w:val="Normal"/>
        <w:numPr>
          <w:ilvl w:val="0"/>
          <w:numId w:val="2"/>
        </w:numPr>
        <w:tabs>
          <w:tab w:val="clear" w:pos="720"/>
          <w:tab w:val="left" w:pos="1440" w:leader="none"/>
        </w:tabs>
        <w:ind w:hanging="360" w:start="1440" w:end="0"/>
        <w:rPr>
          <w:rFonts w:ascii="Garamond" w:hAnsi="Garamond" w:cs="Garamond"/>
        </w:rPr>
      </w:pPr>
      <w:r>
        <w:rPr>
          <w:rFonts w:cs="Garamond" w:ascii="Garamond" w:hAnsi="Garamond"/>
        </w:rPr>
        <w:t>If any FSS shipper elects, on any day, not to utilize all or any portion of its withdrawal allocation, the amount not used shall be allocated to all remaining FSS shippers that desire additional withdrawal allocation by using the above formula as modified to exclude the data related to those shippers who have received all of the withdrawal capacity that was requested by them.</w:t>
      </w:r>
    </w:p>
    <w:p>
      <w:pPr>
        <w:pStyle w:val="Normal"/>
        <w:numPr>
          <w:ilvl w:val="0"/>
          <w:numId w:val="3"/>
        </w:numPr>
        <w:tabs>
          <w:tab w:val="left" w:pos="720" w:leader="none"/>
        </w:tabs>
        <w:ind w:hanging="360" w:start="720" w:end="0"/>
        <w:rPr>
          <w:rFonts w:ascii="Garamond" w:hAnsi="Garamond" w:cs="Garamond"/>
        </w:rPr>
      </w:pPr>
      <w:r>
        <w:rPr>
          <w:rFonts w:cs="Garamond" w:ascii="Garamond" w:hAnsi="Garamond"/>
        </w:rPr>
        <w:t>A shipper receiving storage service under FSS shall schedule the withdrawal of all of its recoverable working gas by the end of the term of its storage service agreement.  If shipper is unable to receive or refuses to accept all of its working gas by such time, shipper will have an additional twelve months in which to withdraw its working gas.  Withdrawal will only be allowed when capacity is available after all FSS, ISS, and overrun requests are met…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800"/>
        </w:tabs>
        <w:ind w:start="1800" w:hanging="360"/>
      </w:pPr>
      <w:rPr>
        <w:rFonts w:ascii="Courier New" w:hAnsi="Courier New" w:cs="Courier New"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b/>
      <w:bCs/>
    </w:rPr>
  </w:style>
  <w:style w:type="paragraph" w:styleId="Heading2">
    <w:name w:val="heading 2"/>
    <w:basedOn w:val="Normal"/>
    <w:next w:val="Normal"/>
    <w:qFormat/>
    <w:pPr>
      <w:keepNext w:val="true"/>
      <w:numPr>
        <w:ilvl w:val="1"/>
        <w:numId w:val="1"/>
      </w:numPr>
      <w:ind w:hanging="0" w:start="-108" w:end="0"/>
      <w:outlineLvl w:val="1"/>
    </w:pPr>
    <w:rPr>
      <w:rFonts w:ascii="Garamond" w:hAnsi="Garamond" w:cs="Garamond"/>
      <w:b/>
      <w:bCs/>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2000-11-26T13:01:00Z</dcterms:created>
  <dc:creator>Tyrell</dc:creator>
  <dc:description/>
  <dc:language>en-CA</dc:language>
  <cp:lastModifiedBy>Tyrell</cp:lastModifiedBy>
  <dcterms:modified xsi:type="dcterms:W3CDTF">2001-03-02T16:08:00Z</dcterms:modified>
  <cp:revision>3</cp:revision>
  <dc:subject/>
  <dc:title>Clay basin Storage Brief</dc:title>
</cp:coreProperties>
</file>