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both"/>
        <w:rPr>
          <w:rFonts w:ascii="Baskerville Old Face" w:hAnsi="Baskerville Old Face" w:cs="Baskerville Old Face"/>
          <w:spacing w:val="-3"/>
          <w:sz w:val="28"/>
        </w:rPr>
      </w:pPr>
      <w:r>
        <w:fldChar w:fldCharType="begin"/>
      </w:r>
      <w:r>
        <w:rPr>
          <w:spacing w:val="-2"/>
        </w:rPr>
        <w:instrText xml:space="preserve">ADVANCE \L 57.60</w:instrText>
      </w:r>
      <w:r>
        <w:rPr>
          <w:spacing w:val="-2"/>
        </w:rPr>
      </w:r>
      <w:r>
        <w:rPr>
          <w:spacing w:val="-2"/>
        </w:rPr>
        <w:fldChar w:fldCharType="separate"/>
      </w:r>
      <w:r>
        <w:rPr>
          <w:spacing w:val="-2"/>
        </w:rPr>
      </w:r>
      <w:r>
        <w:rPr>
          <w:spacing w:val="-2"/>
        </w:rPr>
      </w:r>
      <w:r>
        <w:rPr>
          <w:spacing w:val="-2"/>
        </w:rPr>
        <w:fldChar w:fldCharType="end"/>
      </w:r>
      <w:r>
        <w:fldChar w:fldCharType="begin"/>
      </w:r>
      <w:r>
        <w:rPr>
          <w:sz w:val="28"/>
          <w:spacing w:val="-3"/>
          <w:rFonts w:cs="Baskerville Old Face" w:ascii="Baskerville Old Face" w:hAnsi="Baskerville Old Face"/>
        </w:rPr>
        <w:instrText xml:space="preserve">ADVANCE \D 7.20</w:instrText>
      </w:r>
      <w:r>
        <w:rPr>
          <w:rFonts w:cs="Baskerville Old Face" w:ascii="Baskerville Old Face" w:hAnsi="Baskerville Old Face"/>
          <w:spacing w:val="-3"/>
          <w:sz w:val="28"/>
        </w:rPr>
      </w:r>
      <w:r>
        <w:rPr>
          <w:sz w:val="28"/>
          <w:spacing w:val="-3"/>
          <w:rFonts w:cs="Baskerville Old Face" w:ascii="Baskerville Old Face" w:hAnsi="Baskerville Old Face"/>
        </w:rPr>
        <w:fldChar w:fldCharType="separate"/>
      </w:r>
      <w:r>
        <w:rPr>
          <w:rFonts w:cs="Baskerville Old Face" w:ascii="Baskerville Old Face" w:hAnsi="Baskerville Old Face"/>
          <w:spacing w:val="-3"/>
          <w:sz w:val="28"/>
        </w:rPr>
      </w:r>
      <w:r>
        <w:rPr>
          <w:rFonts w:cs="Baskerville Old Face" w:ascii="Baskerville Old Face" w:hAnsi="Baskerville Old Face"/>
          <w:spacing w:val="-3"/>
          <w:sz w:val="28"/>
        </w:rPr>
      </w:r>
      <w:r>
        <w:rPr>
          <w:sz w:val="28"/>
          <w:spacing w:val="-3"/>
          <w:rFonts w:cs="Baskerville Old Face" w:ascii="Baskerville Old Face" w:hAnsi="Baskerville Old Face"/>
        </w:rPr>
        <w:fldChar w:fldCharType="end"/>
      </w:r>
      <w:r>
        <w:fldChar w:fldCharType="begin"/>
      </w:r>
      <w:r>
        <w:rPr>
          <w:sz w:val="28"/>
          <w:spacing w:val="-3"/>
          <w:rFonts w:cs="Baskerville Old Face" w:ascii="Baskerville Old Face" w:hAnsi="Baskerville Old Face"/>
        </w:rPr>
        <w:instrText xml:space="preserve">ADVANCE \R 36.0</w:instrText>
      </w:r>
      <w:r>
        <w:rPr>
          <w:rFonts w:cs="Baskerville Old Face" w:ascii="Baskerville Old Face" w:hAnsi="Baskerville Old Face"/>
          <w:spacing w:val="-3"/>
          <w:sz w:val="28"/>
        </w:rPr>
      </w:r>
      <w:r>
        <w:rPr>
          <w:sz w:val="28"/>
          <w:spacing w:val="-3"/>
          <w:rFonts w:cs="Baskerville Old Face" w:ascii="Baskerville Old Face" w:hAnsi="Baskerville Old Face"/>
        </w:rPr>
        <w:fldChar w:fldCharType="separate"/>
      </w:r>
      <w:r>
        <w:rPr>
          <w:rFonts w:cs="Baskerville Old Face" w:ascii="Baskerville Old Face" w:hAnsi="Baskerville Old Face"/>
          <w:spacing w:val="-3"/>
          <w:sz w:val="28"/>
        </w:rPr>
      </w:r>
      <w:r/>
      <w:r>
        <w:rPr>
          <w:sz w:val="28"/>
          <w:spacing w:val="-3"/>
          <w:rFonts w:cs="Baskerville Old Face" w:ascii="Baskerville Old Face" w:hAnsi="Baskerville Old Face"/>
        </w:rPr>
        <w:fldChar w:fldCharType="end"/>
      </w:r>
      <w:r>
        <w:rPr>
          <w:rFonts w:cs="Baskerville Old Face" w:ascii="Baskerville Old Face" w:hAnsi="Baskerville Old Face"/>
          <w:spacing w:val="-3"/>
          <w:sz w:val="28"/>
        </w:rPr>
      </w:r>
      <w:r>
        <mc:AlternateContent>
          <mc:Choice Requires="wps">
            <w:drawing>
              <wp:anchor behindDoc="1" distT="0" distB="0" distL="114935" distR="114935" simplePos="0" locked="0" layoutInCell="0" allowOverlap="1" relativeHeight="2">
                <wp:simplePos x="0" y="0"/>
                <wp:positionH relativeFrom="margin">
                  <wp:posOffset>-640080</wp:posOffset>
                </wp:positionH>
                <wp:positionV relativeFrom="paragraph">
                  <wp:posOffset>635</wp:posOffset>
                </wp:positionV>
                <wp:extent cx="2324735" cy="2258060"/>
                <wp:effectExtent l="0" t="0" r="0" b="0"/>
                <wp:wrapNone/>
                <wp:docPr id="1" name="Frame1"/>
                <a:graphic xmlns:a="http://schemas.openxmlformats.org/drawingml/2006/main">
                  <a:graphicData uri="http://schemas.microsoft.com/office/word/2010/wordprocessingShape">
                    <wps:wsp>
                      <wps:cNvSpPr txBox="1"/>
                      <wps:spPr>
                        <a:xfrm>
                          <a:off x="0" y="0"/>
                          <a:ext cx="2324735" cy="2258060"/>
                        </a:xfrm>
                        <a:prstGeom prst="rect"/>
                        <a:solidFill>
                          <a:srgbClr val="FFFFFF">
                            <a:alpha val="0"/>
                          </a:srgbClr>
                        </a:solidFill>
                      </wps:spPr>
                      <wps:txbx>
                        <w:txbxContent>
                          <w:p>
                            <w:pPr>
                              <w:pStyle w:val="Normal"/>
                              <w:tabs>
                                <w:tab w:val="clear" w:pos="720"/>
                                <w:tab w:val="left" w:pos="-720" w:leader="none"/>
                              </w:tabs>
                              <w:suppressAutoHyphens w:val="true"/>
                              <w:jc w:val="both"/>
                              <w:rPr/>
                            </w:pPr>
                            <w:bookmarkStart w:id="0" w:name="_1007876322"/>
                            <w:bookmarkEnd w:id="0"/>
                            <w:r>
                              <w:rPr/>
                              <w:object w:dxaOrig="3661" w:dyaOrig="355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83.05pt;height:177.8pt" filled="f" o:ole="">
                                  <v:imagedata r:id="rId3" o:title=""/>
                                </v:shape>
                                <o:OLEObject Type="Embed" ProgID="" ShapeID="ole_rId2" DrawAspect="Content" ObjectID="_253101290" r:id="rId2"/>
                              </w:object>
                            </w:r>
                          </w:p>
                        </w:txbxContent>
                      </wps:txbx>
                      <wps:bodyPr anchor="t" lIns="635" tIns="635" rIns="635" bIns="635">
                        <a:noAutofit/>
                      </wps:bodyPr>
                    </wps:wsp>
                  </a:graphicData>
                </a:graphic>
              </wp:anchor>
            </w:drawing>
          </mc:Choice>
          <mc:Fallback>
            <w:pict>
              <v:rect fillcolor="#FFFFFF" style="position:absolute;rotation:-0;width:183.05pt;height:177.8pt;mso-wrap-distance-left:9.05pt;mso-wrap-distance-right:9.05pt;mso-wrap-distance-top:0pt;mso-wrap-distance-bottom:0pt;margin-top:0.05pt;mso-position-vertical-relative:text;margin-left:-50.4pt;mso-position-horizontal-relative:margin">
                <v:fill opacity="0f"/>
                <v:textbox inset="0.000694444444444445in,0.000694444444444445in,0.000694444444444445in,0.000694444444444445in">
                  <w:txbxContent>
                    <w:p>
                      <w:pPr>
                        <w:pStyle w:val="Normal"/>
                        <w:tabs>
                          <w:tab w:val="clear" w:pos="720"/>
                          <w:tab w:val="left" w:pos="-720" w:leader="none"/>
                        </w:tabs>
                        <w:suppressAutoHyphens w:val="true"/>
                        <w:jc w:val="both"/>
                        <w:rPr/>
                      </w:pPr>
                      <w:bookmarkStart w:id="1" w:name="_1007876322"/>
                      <w:bookmarkEnd w:id="1"/>
                      <w:r>
                        <w:rPr/>
                        <w:object w:dxaOrig="3661" w:dyaOrig="3556">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83.05pt;height:177.8pt" filled="f" o:ole="">
                            <v:imagedata r:id="rId5" o:title=""/>
                          </v:shape>
                          <o:OLEObject Type="Embed" ProgID="" ShapeID="ole_rId4" DrawAspect="Content" ObjectID="_2123892928" r:id="rId4"/>
                        </w:object>
                      </w:r>
                    </w:p>
                  </w:txbxContent>
                </v:textbox>
                <w10:wrap type="none"/>
              </v:rect>
            </w:pict>
          </mc:Fallback>
        </mc:AlternateContent>
      </w:r>
    </w:p>
    <w:p>
      <w:pPr>
        <w:pStyle w:val="Normal"/>
        <w:suppressAutoHyphens w:val="true"/>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suppressAutoHyphens w:val="true"/>
        <w:ind w:end="-252"/>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suppressAutoHyphens w:val="true"/>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tabs>
          <w:tab w:val="clear" w:pos="720"/>
          <w:tab w:val="left" w:pos="-720" w:leader="none"/>
        </w:tabs>
        <w:suppressAutoHyphens w:val="true"/>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tabs>
          <w:tab w:val="clear" w:pos="720"/>
          <w:tab w:val="left" w:pos="-720" w:leader="none"/>
        </w:tabs>
        <w:suppressAutoHyphens w:val="true"/>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numPr>
          <w:ilvl w:val="0"/>
          <w:numId w:val="0"/>
        </w:numPr>
        <w:tabs>
          <w:tab w:val="clear" w:pos="720"/>
          <w:tab w:val="left" w:pos="-720" w:leader="none"/>
        </w:tabs>
        <w:suppressAutoHyphens w:val="true"/>
        <w:outlineLvl w:val="0"/>
        <w:rPr>
          <w:rFonts w:ascii="Bookman Old Style" w:hAnsi="Bookman Old Style" w:cs="Bookman Old Style"/>
          <w:sz w:val="16"/>
        </w:rPr>
      </w:pPr>
      <w:r>
        <w:rPr>
          <w:rFonts w:cs="CG Times;Times New Roman" w:ascii="CG Times;Times New Roman" w:hAnsi="CG Times;Times New Roman"/>
          <w:i/>
          <w:sz w:val="56"/>
        </w:rPr>
        <w:t xml:space="preserve">Western </w:t>
      </w:r>
      <w:r>
        <w:fldChar w:fldCharType="begin"/>
      </w:r>
      <w:r>
        <w:rPr>
          <w:sz w:val="56"/>
          <w:i/>
          <w:rFonts w:cs="CG Times;Times New Roman" w:ascii="CG Times;Times New Roman" w:hAnsi="CG Times;Times New Roman"/>
        </w:rPr>
        <w:instrText xml:space="preserve">ADVANCE \L 3.60</w:instrText>
      </w:r>
      <w:r>
        <w:rPr>
          <w:rFonts w:cs="CG Times;Times New Roman" w:ascii="CG Times;Times New Roman" w:hAnsi="CG Times;Times New Roman"/>
          <w:i/>
          <w:sz w:val="56"/>
        </w:rPr>
      </w:r>
      <w:r>
        <w:rPr>
          <w:sz w:val="56"/>
          <w:i/>
          <w:rFonts w:cs="CG Times;Times New Roman" w:ascii="CG Times;Times New Roman" w:hAnsi="CG Times;Times New Roman"/>
        </w:rPr>
        <w:fldChar w:fldCharType="separate"/>
      </w:r>
      <w:r>
        <w:rPr>
          <w:rFonts w:cs="CG Times;Times New Roman" w:ascii="CG Times;Times New Roman" w:hAnsi="CG Times;Times New Roman"/>
          <w:i/>
          <w:sz w:val="56"/>
        </w:rPr>
      </w:r>
      <w:r>
        <w:rPr>
          <w:rFonts w:cs="CG Times;Times New Roman" w:ascii="CG Times;Times New Roman" w:hAnsi="CG Times;Times New Roman"/>
          <w:i/>
          <w:sz w:val="56"/>
        </w:rPr>
      </w:r>
      <w:r>
        <w:rPr>
          <w:sz w:val="56"/>
          <w:i/>
          <w:rFonts w:cs="CG Times;Times New Roman" w:ascii="CG Times;Times New Roman" w:hAnsi="CG Times;Times New Roman"/>
        </w:rPr>
        <w:fldChar w:fldCharType="end"/>
      </w:r>
      <w:r>
        <w:rPr>
          <w:rFonts w:cs="CG Times;Times New Roman" w:ascii="CG Times;Times New Roman" w:hAnsi="CG Times;Times New Roman"/>
          <w:i/>
          <w:sz w:val="56"/>
        </w:rPr>
        <w:t xml:space="preserve">Systems </w:t>
      </w:r>
      <w:r>
        <w:fldChar w:fldCharType="begin"/>
      </w:r>
      <w:r>
        <w:rPr>
          <w:sz w:val="56"/>
          <w:i/>
          <w:rFonts w:cs="CG Times;Times New Roman" w:ascii="CG Times;Times New Roman" w:hAnsi="CG Times;Times New Roman"/>
        </w:rPr>
        <w:instrText xml:space="preserve">ADVANCE \L 3.60</w:instrText>
      </w:r>
      <w:r>
        <w:rPr>
          <w:rFonts w:cs="CG Times;Times New Roman" w:ascii="CG Times;Times New Roman" w:hAnsi="CG Times;Times New Roman"/>
          <w:i/>
          <w:sz w:val="56"/>
        </w:rPr>
      </w:r>
      <w:r>
        <w:rPr>
          <w:sz w:val="56"/>
          <w:i/>
          <w:rFonts w:cs="CG Times;Times New Roman" w:ascii="CG Times;Times New Roman" w:hAnsi="CG Times;Times New Roman"/>
        </w:rPr>
        <w:fldChar w:fldCharType="separate"/>
      </w:r>
      <w:r>
        <w:rPr>
          <w:rFonts w:cs="CG Times;Times New Roman" w:ascii="CG Times;Times New Roman" w:hAnsi="CG Times;Times New Roman"/>
          <w:i/>
          <w:sz w:val="56"/>
        </w:rPr>
      </w:r>
      <w:r>
        <w:rPr>
          <w:rFonts w:cs="CG Times;Times New Roman" w:ascii="CG Times;Times New Roman" w:hAnsi="CG Times;Times New Roman"/>
          <w:i/>
          <w:sz w:val="56"/>
        </w:rPr>
      </w:r>
      <w:r>
        <w:rPr>
          <w:sz w:val="56"/>
          <w:i/>
          <w:rFonts w:cs="CG Times;Times New Roman" w:ascii="CG Times;Times New Roman" w:hAnsi="CG Times;Times New Roman"/>
        </w:rPr>
        <w:fldChar w:fldCharType="end"/>
      </w:r>
      <w:r>
        <w:rPr>
          <w:rFonts w:cs="CG Times;Times New Roman" w:ascii="CG Times;Times New Roman" w:hAnsi="CG Times;Times New Roman"/>
          <w:i/>
          <w:sz w:val="56"/>
        </w:rPr>
        <w:t xml:space="preserve">Coordinating </w:t>
      </w:r>
      <w:r>
        <w:fldChar w:fldCharType="begin"/>
      </w:r>
      <w:r>
        <w:rPr>
          <w:sz w:val="56"/>
          <w:i/>
          <w:rFonts w:cs="CG Times;Times New Roman" w:ascii="CG Times;Times New Roman" w:hAnsi="CG Times;Times New Roman"/>
        </w:rPr>
        <w:instrText xml:space="preserve">ADVANCE \L 3.60</w:instrText>
      </w:r>
      <w:r>
        <w:rPr>
          <w:rFonts w:cs="CG Times;Times New Roman" w:ascii="CG Times;Times New Roman" w:hAnsi="CG Times;Times New Roman"/>
          <w:i/>
          <w:sz w:val="56"/>
        </w:rPr>
      </w:r>
      <w:r>
        <w:rPr>
          <w:sz w:val="56"/>
          <w:i/>
          <w:rFonts w:cs="CG Times;Times New Roman" w:ascii="CG Times;Times New Roman" w:hAnsi="CG Times;Times New Roman"/>
        </w:rPr>
        <w:fldChar w:fldCharType="separate"/>
      </w:r>
      <w:r>
        <w:rPr>
          <w:rFonts w:cs="CG Times;Times New Roman" w:ascii="CG Times;Times New Roman" w:hAnsi="CG Times;Times New Roman"/>
          <w:i/>
          <w:sz w:val="56"/>
        </w:rPr>
      </w:r>
      <w:r>
        <w:rPr>
          <w:rFonts w:cs="CG Times;Times New Roman" w:ascii="CG Times;Times New Roman" w:hAnsi="CG Times;Times New Roman"/>
          <w:i/>
          <w:sz w:val="56"/>
        </w:rPr>
      </w:r>
      <w:r>
        <w:rPr>
          <w:sz w:val="56"/>
          <w:i/>
          <w:rFonts w:cs="CG Times;Times New Roman" w:ascii="CG Times;Times New Roman" w:hAnsi="CG Times;Times New Roman"/>
        </w:rPr>
        <w:fldChar w:fldCharType="end"/>
      </w:r>
      <w:r>
        <w:rPr>
          <w:rFonts w:cs="CG Times;Times New Roman" w:ascii="CG Times;Times New Roman" w:hAnsi="CG Times;Times New Roman"/>
          <w:i/>
          <w:sz w:val="56"/>
        </w:rPr>
        <w:t>Council</w:t>
      </w:r>
    </w:p>
    <w:p>
      <w:pPr>
        <w:pStyle w:val="Normal"/>
        <w:rPr>
          <w:rFonts w:ascii="Bookman Old Style" w:hAnsi="Bookman Old Style" w:cs="Bookman Old Style"/>
          <w:color w:val="FF0000"/>
          <w:sz w:val="16"/>
        </w:rPr>
      </w:pPr>
      <w:r>
        <w:rPr>
          <w:rFonts w:cs="Bookman Old Style" w:ascii="Bookman Old Style" w:hAnsi="Bookman Old Style"/>
          <w:color w:val="FF0000"/>
          <w:sz w:val="16"/>
        </w:rPr>
      </w:r>
    </w:p>
    <w:p>
      <w:pPr>
        <w:pStyle w:val="replyto"/>
        <w:spacing w:before="0" w:after="0"/>
        <w:ind w:start="5760" w:end="0"/>
        <w:jc w:val="end"/>
        <w:rPr>
          <w:rFonts w:ascii="Times New Roman" w:hAnsi="Times New Roman" w:cs="Times New Roman"/>
          <w:color w:val="FF0000"/>
          <w:sz w:val="20"/>
        </w:rPr>
      </w:pPr>
      <w:r>
        <w:rPr>
          <w:rFonts w:cs="Times New Roman" w:ascii="Times New Roman" w:hAnsi="Times New Roman"/>
          <w:color w:val="FF0000"/>
          <w:sz w:val="20"/>
        </w:rPr>
        <w:t>REPLY TO:</w:t>
      </w:r>
    </w:p>
    <w:p>
      <w:pPr>
        <w:pStyle w:val="replyto"/>
        <w:spacing w:before="0" w:after="0"/>
        <w:ind w:start="5760" w:end="0"/>
        <w:jc w:val="end"/>
        <w:rPr>
          <w:rFonts w:ascii="Times New Roman" w:hAnsi="Times New Roman" w:cs="Times New Roman"/>
          <w:color w:val="FF0000"/>
          <w:sz w:val="20"/>
        </w:rPr>
      </w:pPr>
      <w:r>
        <w:rPr>
          <w:rFonts w:cs="Times New Roman" w:ascii="Times New Roman" w:hAnsi="Times New Roman"/>
          <w:color w:val="FF0000"/>
          <w:sz w:val="20"/>
        </w:rPr>
        <w:t>Mark W. Hackney, Chairperson</w:t>
      </w:r>
    </w:p>
    <w:p>
      <w:pPr>
        <w:pStyle w:val="replyto"/>
        <w:spacing w:before="0" w:after="0"/>
        <w:ind w:start="5760" w:end="0"/>
        <w:jc w:val="end"/>
        <w:rPr>
          <w:rFonts w:ascii="Times New Roman" w:hAnsi="Times New Roman" w:cs="Times New Roman"/>
          <w:color w:val="FF0000"/>
          <w:sz w:val="20"/>
        </w:rPr>
      </w:pPr>
      <w:r>
        <w:rPr>
          <w:rFonts w:cs="Times New Roman" w:ascii="Times New Roman" w:hAnsi="Times New Roman"/>
          <w:color w:val="FF0000"/>
          <w:sz w:val="20"/>
        </w:rPr>
        <w:t>Interchange Scheduling and Accounting Subcommittee</w:t>
      </w:r>
    </w:p>
    <w:p>
      <w:pPr>
        <w:pStyle w:val="replyto"/>
        <w:spacing w:before="0" w:after="0"/>
        <w:ind w:start="5760" w:end="0"/>
        <w:jc w:val="end"/>
        <w:rPr>
          <w:rFonts w:ascii="Times New Roman" w:hAnsi="Times New Roman" w:cs="Times New Roman"/>
          <w:color w:val="FF0000"/>
          <w:sz w:val="20"/>
        </w:rPr>
      </w:pPr>
      <w:r>
        <w:rPr>
          <w:rFonts w:cs="Times New Roman" w:ascii="Times New Roman" w:hAnsi="Times New Roman"/>
          <w:color w:val="FF0000"/>
          <w:sz w:val="20"/>
        </w:rPr>
        <w:t>Arizona Public Service Company</w:t>
      </w:r>
    </w:p>
    <w:p>
      <w:pPr>
        <w:pStyle w:val="replyto"/>
        <w:spacing w:before="0" w:after="0"/>
        <w:ind w:start="5760" w:end="0"/>
        <w:jc w:val="end"/>
        <w:rPr>
          <w:rFonts w:ascii="Times New Roman" w:hAnsi="Times New Roman" w:cs="Times New Roman"/>
          <w:color w:val="FF0000"/>
          <w:sz w:val="20"/>
        </w:rPr>
      </w:pPr>
      <w:r>
        <w:rPr>
          <w:rFonts w:cs="Times New Roman" w:ascii="Times New Roman" w:hAnsi="Times New Roman"/>
          <w:color w:val="FF0000"/>
          <w:sz w:val="20"/>
        </w:rPr>
        <w:t>P.O. Box 53999</w:t>
      </w:r>
    </w:p>
    <w:p>
      <w:pPr>
        <w:pStyle w:val="replyto"/>
        <w:spacing w:before="0" w:after="0"/>
        <w:ind w:start="5760" w:end="0"/>
        <w:jc w:val="end"/>
        <w:rPr>
          <w:rFonts w:ascii="Times New Roman" w:hAnsi="Times New Roman" w:cs="Times New Roman"/>
          <w:color w:val="FF0000"/>
          <w:sz w:val="20"/>
        </w:rPr>
      </w:pPr>
      <w:r>
        <w:rPr>
          <w:rFonts w:cs="Times New Roman" w:ascii="Times New Roman" w:hAnsi="Times New Roman"/>
          <w:color w:val="FF0000"/>
          <w:sz w:val="20"/>
        </w:rPr>
        <w:t>Station 2260</w:t>
      </w:r>
    </w:p>
    <w:p>
      <w:pPr>
        <w:pStyle w:val="replyto"/>
        <w:spacing w:before="0" w:after="0"/>
        <w:ind w:start="5760" w:end="0"/>
        <w:jc w:val="end"/>
        <w:rPr>
          <w:rFonts w:ascii="Times New Roman" w:hAnsi="Times New Roman" w:cs="Times New Roman"/>
          <w:color w:val="FF0000"/>
          <w:sz w:val="20"/>
        </w:rPr>
      </w:pPr>
      <w:r>
        <w:rPr>
          <w:rFonts w:cs="Times New Roman" w:ascii="Times New Roman" w:hAnsi="Times New Roman"/>
          <w:color w:val="FF0000"/>
          <w:sz w:val="20"/>
        </w:rPr>
        <w:t>Phoenix, AZ 85072-3999</w:t>
      </w:r>
    </w:p>
    <w:p>
      <w:pPr>
        <w:pStyle w:val="replyto"/>
        <w:spacing w:before="0" w:after="0"/>
        <w:ind w:start="5760" w:end="0"/>
        <w:jc w:val="end"/>
        <w:rPr>
          <w:rFonts w:ascii="Times New Roman" w:hAnsi="Times New Roman" w:cs="Times New Roman"/>
          <w:color w:val="FF0000"/>
          <w:sz w:val="20"/>
        </w:rPr>
      </w:pPr>
      <w:r>
        <w:rPr>
          <w:rFonts w:cs="Times New Roman" w:ascii="Times New Roman" w:hAnsi="Times New Roman"/>
          <w:color w:val="FF0000"/>
          <w:sz w:val="20"/>
        </w:rPr>
        <w:t>Tel: (602) 250-1128</w:t>
      </w:r>
    </w:p>
    <w:p>
      <w:pPr>
        <w:pStyle w:val="replyto"/>
        <w:spacing w:before="0" w:after="0"/>
        <w:ind w:start="5760" w:end="0"/>
        <w:jc w:val="end"/>
        <w:rPr>
          <w:rFonts w:ascii="Times New Roman" w:hAnsi="Times New Roman" w:cs="Times New Roman"/>
          <w:sz w:val="20"/>
        </w:rPr>
      </w:pPr>
      <w:r>
        <w:rPr>
          <w:rFonts w:cs="Times New Roman" w:ascii="Times New Roman" w:hAnsi="Times New Roman"/>
          <w:color w:val="FF0000"/>
          <w:sz w:val="20"/>
        </w:rPr>
        <w:t>Fax: (602) 250-1155</w:t>
      </w:r>
    </w:p>
    <w:p>
      <w:pPr>
        <w:pStyle w:val="Normal"/>
        <w:rPr>
          <w:rFonts w:ascii="Times New Roman" w:hAnsi="Times New Roman" w:cs="Times New Roman"/>
          <w:sz w:val="24"/>
        </w:rPr>
      </w:pPr>
      <w:r>
        <w:rPr>
          <w:rFonts w:cs="Times New Roman"/>
          <w:sz w:val="24"/>
        </w:rPr>
      </w:r>
    </w:p>
    <w:p>
      <w:pPr>
        <w:pStyle w:val="Normal"/>
        <w:rPr>
          <w:sz w:val="24"/>
        </w:rPr>
      </w:pPr>
      <w:r>
        <w:rPr>
          <w:sz w:val="24"/>
        </w:rPr>
        <w:t>September 18, 2001</w:t>
      </w:r>
    </w:p>
    <w:p>
      <w:pPr>
        <w:pStyle w:val="Normal"/>
        <w:rPr>
          <w:sz w:val="24"/>
        </w:rPr>
      </w:pPr>
      <w:r>
        <w:rPr>
          <w:sz w:val="24"/>
        </w:rPr>
      </w:r>
    </w:p>
    <w:p>
      <w:pPr>
        <w:pStyle w:val="Normal"/>
        <w:rPr>
          <w:sz w:val="24"/>
        </w:rPr>
      </w:pPr>
      <w:r>
        <w:rPr>
          <w:sz w:val="24"/>
        </w:rPr>
        <w:t>To:</w:t>
        <w:tab/>
        <w:t>WSCC Operations Committee</w:t>
      </w:r>
    </w:p>
    <w:p>
      <w:pPr>
        <w:pStyle w:val="Normal"/>
        <w:rPr>
          <w:sz w:val="24"/>
        </w:rPr>
      </w:pPr>
      <w:r>
        <w:rPr>
          <w:sz w:val="24"/>
        </w:rPr>
        <w:tab/>
        <w:t>WSCC Western Market Interface Committee</w:t>
      </w:r>
    </w:p>
    <w:p>
      <w:pPr>
        <w:pStyle w:val="Normal"/>
        <w:rPr>
          <w:sz w:val="24"/>
        </w:rPr>
      </w:pPr>
      <w:r>
        <w:rPr>
          <w:sz w:val="24"/>
        </w:rPr>
        <w:tab/>
        <w:t>WSCC Interchange Scheduling and Accounting Subcommittee</w:t>
      </w:r>
    </w:p>
    <w:p>
      <w:pPr>
        <w:pStyle w:val="Normal"/>
        <w:rPr>
          <w:sz w:val="24"/>
        </w:rPr>
      </w:pPr>
      <w:r>
        <w:rPr>
          <w:sz w:val="24"/>
        </w:rPr>
      </w:r>
    </w:p>
    <w:p>
      <w:pPr>
        <w:pStyle w:val="Normal"/>
        <w:rPr>
          <w:sz w:val="24"/>
        </w:rPr>
      </w:pPr>
      <w:r>
        <w:rPr>
          <w:sz w:val="24"/>
        </w:rPr>
        <w:t>Subject:   E-Tagging</w:t>
      </w:r>
    </w:p>
    <w:p>
      <w:pPr>
        <w:pStyle w:val="Normal"/>
        <w:rPr>
          <w:sz w:val="24"/>
        </w:rPr>
      </w:pPr>
      <w:r>
        <w:rPr>
          <w:sz w:val="24"/>
        </w:rPr>
      </w:r>
    </w:p>
    <w:p>
      <w:pPr>
        <w:pStyle w:val="Normal"/>
        <w:rPr>
          <w:sz w:val="24"/>
        </w:rPr>
      </w:pPr>
      <w:r>
        <w:rPr>
          <w:sz w:val="24"/>
        </w:rPr>
      </w:r>
    </w:p>
    <w:p>
      <w:pPr>
        <w:pStyle w:val="Normal"/>
        <w:rPr>
          <w:sz w:val="24"/>
        </w:rPr>
      </w:pPr>
      <w:r>
        <w:rPr>
          <w:sz w:val="24"/>
        </w:rPr>
        <w:t>By way of this letter, I would like to reiterate several points about E-Tagging that have been brought to my attention that appear to be confusing people.</w:t>
      </w:r>
    </w:p>
    <w:p>
      <w:pPr>
        <w:pStyle w:val="Normal"/>
        <w:rPr>
          <w:sz w:val="24"/>
        </w:rPr>
      </w:pPr>
      <w:r>
        <w:rPr>
          <w:sz w:val="24"/>
        </w:rPr>
      </w:r>
    </w:p>
    <w:p>
      <w:pPr>
        <w:pStyle w:val="Normal"/>
        <w:numPr>
          <w:ilvl w:val="0"/>
          <w:numId w:val="2"/>
        </w:numPr>
        <w:rPr>
          <w:sz w:val="24"/>
        </w:rPr>
      </w:pPr>
      <w:r>
        <w:rPr>
          <w:sz w:val="24"/>
        </w:rPr>
        <w:t>E-Tagging spec 1.7 will be the version that the Western Interconnection will be using in coincidence with the Eastern Interconnection, whether that date is November 13, December 11 or later.  Each and every control area, transmission provider and purchasing/selling entities shall ensure that they will have a vendor that delivers the E-Tagging product that complies with the 1.7 spec.  Specification 1.67 E-Tagging products will not be compatible and should therefore not be used after the cutover to initiate E-Tags.  The system may be necessary if you vendor is not supplying a conversion tool for older E-Tags, but in no event is it a system to be used for the creation and sending of E-Tagged transactions after the 1.7 implementation date.</w:t>
      </w:r>
    </w:p>
    <w:p>
      <w:pPr>
        <w:pStyle w:val="Normal"/>
        <w:numPr>
          <w:ilvl w:val="0"/>
          <w:numId w:val="2"/>
        </w:numPr>
        <w:rPr>
          <w:sz w:val="24"/>
        </w:rPr>
      </w:pPr>
      <w:r>
        <w:rPr>
          <w:sz w:val="24"/>
        </w:rPr>
        <w:t xml:space="preserve">The "Final" document that includes the POR/POD Acronyms to be used in pre-spec 1.7 tags has been posted on the ISAS Website at </w:t>
      </w:r>
      <w:hyperlink r:id="rId6">
        <w:r>
          <w:rPr>
            <w:rStyle w:val="Hyperlink"/>
          </w:rPr>
          <w:t>http://wsccstf.azpsoasis.com/wsccstf.htm</w:t>
        </w:r>
      </w:hyperlink>
      <w:r>
        <w:rPr>
          <w:sz w:val="24"/>
        </w:rPr>
        <w:t>, look for the "NEW" logo and the document is linked as "POD Acronyms, Tie Line Matrix with JOU examples".  The third tab in the spreadsheet has the currently accepted 3-4 character acronym for POD's that should be used when making E-Tags.  After the 1.7 spec version of E-Tagging is implemented, there should be a mechanism to select the Registered POR/POD names that have already be entered by TP's on the NERC TSIN registration site or will be registered.  The intent is that the same names used in the TP's OASIS sites for the POD/POR's will be available via the NERC registry and the vendors applications to allow the E-Tag agents to select from that list of already agreed to POD's and POR's.  After spec 1.7 implementation, the short names used under the manual process are not expected to be used by the E-Tag agents.</w:t>
      </w:r>
    </w:p>
    <w:p>
      <w:pPr>
        <w:pStyle w:val="Normal"/>
        <w:numPr>
          <w:ilvl w:val="0"/>
          <w:numId w:val="2"/>
        </w:numPr>
        <w:rPr>
          <w:sz w:val="24"/>
        </w:rPr>
      </w:pPr>
      <w:r>
        <w:rPr>
          <w:sz w:val="24"/>
        </w:rPr>
        <w:t>And finally, the "No Tag No Flow policy".  There is no policy in the WSCC that makes this statement.  The letters from LeRoy Patterson, OC Chair, stated that it is expected that Entities within the WSCC are expected to be complying with NERC Policy 3 regarding transactions.  That Policy states that normal, non-emergency transactions are expected to be E-Tagged and entities are not to be including schedules with others if the transaction has not been E-Tagged.  The letter states the exemption is for bilateral inadvertent payback and dynamic schedules, which are not required to be E-Tagged at this time.</w:t>
      </w:r>
    </w:p>
    <w:p>
      <w:pPr>
        <w:pStyle w:val="Normal"/>
        <w:rPr>
          <w:sz w:val="24"/>
        </w:rPr>
      </w:pPr>
      <w:r>
        <w:rPr>
          <w:sz w:val="24"/>
        </w:rPr>
      </w:r>
    </w:p>
    <w:p>
      <w:pPr>
        <w:pStyle w:val="Normal"/>
        <w:rPr>
          <w:sz w:val="24"/>
        </w:rPr>
      </w:pPr>
      <w:r>
        <w:rPr>
          <w:sz w:val="24"/>
        </w:rPr>
        <w:t>I hope that these explanations will clear up any confusion that folks had regarding these three items and make the point clear that when spec 1.7 is implemented, it is system wide, that the NERC registry will be the source for PORs, PODs in the 1.7 E-Tagging system but until that time the short 3-4 character acronyms outlined in the posted POD Acronym spreadsheet should be used and what is expected as to interchange transactions being tagged.</w:t>
      </w:r>
    </w:p>
    <w:p>
      <w:pPr>
        <w:pStyle w:val="Normal"/>
        <w:rPr>
          <w:sz w:val="24"/>
        </w:rPr>
      </w:pPr>
      <w:r>
        <w:rPr>
          <w:sz w:val="24"/>
        </w:rPr>
      </w:r>
    </w:p>
    <w:p>
      <w:pPr>
        <w:pStyle w:val="Normal"/>
        <w:rPr/>
      </w:pPr>
      <w:r>
        <w:rPr>
          <w:sz w:val="24"/>
        </w:rPr>
        <w:t xml:space="preserve">If you have questions, please email me at </w:t>
      </w:r>
      <w:hyperlink r:id="rId7">
        <w:r>
          <w:rPr>
            <w:rStyle w:val="Hyperlink"/>
          </w:rPr>
          <w:t>Mark.Hackney@aps.com</w:t>
        </w:r>
      </w:hyperlink>
      <w:r>
        <w:rPr>
          <w:sz w:val="24"/>
        </w:rPr>
        <w:t xml:space="preserve"> or call 602.250.1128.</w:t>
      </w:r>
    </w:p>
    <w:p>
      <w:pPr>
        <w:pStyle w:val="Normal"/>
        <w:rPr>
          <w:sz w:val="24"/>
        </w:rPr>
      </w:pPr>
      <w:r>
        <w:rPr>
          <w:sz w:val="24"/>
        </w:rPr>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rFonts w:ascii="Brush Script MT" w:hAnsi="Brush Script MT" w:cs="Brush Script MT"/>
          <w:sz w:val="40"/>
        </w:rPr>
      </w:pPr>
      <w:r>
        <w:rPr>
          <w:rFonts w:cs="Brush Script MT" w:ascii="Brush Script MT" w:hAnsi="Brush Script MT"/>
          <w:sz w:val="40"/>
        </w:rPr>
        <w:t>Mark W. Hackney</w:t>
      </w:r>
    </w:p>
    <w:p>
      <w:pPr>
        <w:pStyle w:val="Normal"/>
        <w:rPr>
          <w:rFonts w:ascii="Brush Script MT" w:hAnsi="Brush Script MT" w:cs="Brush Script MT"/>
          <w:sz w:val="24"/>
        </w:rPr>
      </w:pPr>
      <w:r>
        <w:rPr>
          <w:rFonts w:cs="Brush Script MT" w:ascii="Brush Script MT" w:hAnsi="Brush Script MT"/>
          <w:sz w:val="24"/>
        </w:rPr>
      </w:r>
    </w:p>
    <w:p>
      <w:pPr>
        <w:pStyle w:val="Normal"/>
        <w:rPr>
          <w:sz w:val="24"/>
        </w:rPr>
      </w:pPr>
      <w:r>
        <w:rPr>
          <w:sz w:val="24"/>
        </w:rPr>
        <w:t>Mark W. Hackney</w:t>
      </w:r>
    </w:p>
    <w:p>
      <w:pPr>
        <w:pStyle w:val="Normal"/>
        <w:rPr>
          <w:sz w:val="24"/>
        </w:rPr>
      </w:pPr>
      <w:r>
        <w:rPr>
          <w:sz w:val="24"/>
        </w:rPr>
        <w:t>Chair, WSCC ISAS</w:t>
      </w:r>
    </w:p>
    <w:p>
      <w:pPr>
        <w:pStyle w:val="Normal"/>
        <w:rPr>
          <w:sz w:val="24"/>
        </w:rPr>
      </w:pPr>
      <w:r>
        <w:rPr>
          <w:sz w:val="24"/>
        </w:rPr>
      </w:r>
    </w:p>
    <w:p>
      <w:pPr>
        <w:pStyle w:val="Normal"/>
        <w:rPr>
          <w:sz w:val="24"/>
        </w:rPr>
      </w:pPr>
      <w:r>
        <w:rPr>
          <w:sz w:val="24"/>
        </w:rPr>
      </w:r>
    </w:p>
    <w:p>
      <w:pPr>
        <w:pStyle w:val="Normal"/>
        <w:rPr>
          <w:sz w:val="24"/>
        </w:rPr>
      </w:pPr>
      <w:r>
        <w:rPr>
          <w:sz w:val="24"/>
        </w:rPr>
      </w:r>
    </w:p>
    <w:sectPr>
      <w:footerReference w:type="default" r:id="rId8"/>
      <w:footerReference w:type="first" r:id="rId9"/>
      <w:type w:val="nextPage"/>
      <w:pgSz w:w="12240" w:h="15840"/>
      <w:pgMar w:left="1440" w:right="1440" w:gutter="0" w:header="0" w:top="1080" w:footer="30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man Old Style">
    <w:charset w:val="00" w:characterSet="windows-1252"/>
    <w:family w:val="roman"/>
    <w:pitch w:val="variable"/>
  </w:font>
  <w:font w:name="Courier">
    <w:altName w:val="Courier New"/>
    <w:charset w:val="00" w:characterSet="windows-1252"/>
    <w:family w:val="modern"/>
    <w:pitch w:val="default"/>
  </w:font>
  <w:font w:name="Tahoma">
    <w:charset w:val="00" w:characterSet="windows-1252"/>
    <w:family w:val="swiss"/>
    <w:pitch w:val="variable"/>
  </w:font>
  <w:font w:name="Baskerville Old Face">
    <w:charset w:val="00" w:characterSet="windows-1252"/>
    <w:family w:val="roman"/>
    <w:pitch w:val="variable"/>
  </w:font>
  <w:font w:name="CG Times">
    <w:altName w:val="Times New Roman"/>
    <w:charset w:val="00" w:characterSet="windows-1252"/>
    <w:family w:val="roman"/>
    <w:pitch w:val="variable"/>
  </w:font>
  <w:font w:name="Brush Script MT">
    <w:charset w:val="00" w:characterSet="windows-1252"/>
    <w:family w:val="script"/>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2</w:t>
    </w:r>
    <w:r>
      <w:rPr>
        <w:lang w:eastAsia="en-US"/>
      </w:rPr>
      <w:fldChar w:fldCharType="end"/>
    </w:r>
    <w:r>
      <w:rPr>
        <w:lang w:eastAsia="en-US"/>
      </w:rPr>
      <w:t xml:space="preserve"> of </w:t>
    </w:r>
    <w:r>
      <w:rPr>
        <w:lang w:eastAsia="en-US"/>
      </w:rPr>
      <w:fldChar w:fldCharType="begin"/>
    </w:r>
    <w:r>
      <w:rPr>
        <w:lang w:eastAsia="en-US"/>
      </w:rPr>
      <w:instrText xml:space="preserve"> NUMPAGES \* ARABIC </w:instrText>
    </w:r>
    <w:r>
      <w:rPr>
        <w:lang w:eastAsia="en-US"/>
      </w:rPr>
      <w:fldChar w:fldCharType="separate"/>
    </w:r>
    <w:r>
      <w:rPr>
        <w:lang w:eastAsia="en-US"/>
      </w:rPr>
      <w:t>2</w:t>
    </w:r>
    <w:r>
      <w:rPr>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3">
    <w:name w:val="heading 3"/>
    <w:basedOn w:val="Normal"/>
    <w:next w:val="Normal"/>
    <w:qFormat/>
    <w:pPr>
      <w:keepNext w:val="true"/>
      <w:numPr>
        <w:ilvl w:val="2"/>
        <w:numId w:val="1"/>
      </w:numPr>
      <w:outlineLvl w:val="2"/>
    </w:pPr>
    <w:rPr>
      <w:rFonts w:ascii="Arial" w:hAnsi="Arial" w:cs="Arial"/>
      <w:b/>
      <w:sz w:val="22"/>
    </w:rPr>
  </w:style>
  <w:style w:type="paragraph" w:styleId="Heading4">
    <w:name w:val="heading 4"/>
    <w:basedOn w:val="Normal"/>
    <w:next w:val="Normal"/>
    <w:qFormat/>
    <w:pPr>
      <w:keepNext w:val="true"/>
      <w:numPr>
        <w:ilvl w:val="3"/>
        <w:numId w:val="1"/>
      </w:numPr>
      <w:outlineLvl w:val="3"/>
    </w:pPr>
    <w:rPr>
      <w:rFonts w:ascii="Arial" w:hAnsi="Arial" w:cs="Arial"/>
      <w:b/>
      <w:sz w:val="22"/>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eplyto">
    <w:name w:val="replyto"/>
    <w:basedOn w:val="Normal"/>
    <w:qFormat/>
    <w:pPr>
      <w:spacing w:before="120" w:after="0"/>
      <w:jc w:val="center"/>
    </w:pPr>
    <w:rPr>
      <w:rFonts w:ascii="Bookman Old Style" w:hAnsi="Bookman Old Style" w:cs="Bookman Old Style"/>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rFonts w:ascii="Courier;Courier New" w:hAnsi="Courier;Courier New" w:cs="Courier;Courier New"/>
    </w:rPr>
  </w:style>
  <w:style w:type="paragraph" w:styleId="DocumentMap">
    <w:name w:val="Document Map"/>
    <w:basedOn w:val="Normal"/>
    <w:qFormat/>
    <w:pPr>
      <w:shd w:fill="000080" w:val="clear"/>
    </w:pPr>
    <w:rPr>
      <w:rFonts w:ascii="Tahoma" w:hAnsi="Tahoma" w:cs="Tahoma"/>
    </w:rPr>
  </w:style>
  <w:style w:type="paragraph" w:styleId="FootnoteText">
    <w:name w:val="footnote text"/>
    <w:basedOn w:val="Normal"/>
    <w:pPr/>
    <w:rPr/>
  </w:style>
  <w:style w:type="paragraph" w:styleId="BodyTextIndent">
    <w:name w:val="Body Text Indent"/>
    <w:basedOn w:val="Normal"/>
    <w:pPr>
      <w:ind w:hanging="360" w:start="360" w:end="0"/>
    </w:pPr>
    <w:rPr>
      <w:rFonts w:ascii="Arial" w:hAnsi="Arial" w:cs="Arial"/>
      <w:sz w:val="22"/>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1.wmf"/><Relationship Id="rId6" Type="http://schemas.openxmlformats.org/officeDocument/2006/relationships/hyperlink" Target="http://wsccstf.azpsoasis.com/wsccstf.htm" TargetMode="External"/><Relationship Id="rId7" Type="http://schemas.openxmlformats.org/officeDocument/2006/relationships/hyperlink" Target="mailto:Mark.Hackney@aps.com"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ISAS Letterhead.dot</Template>
  <TotalTime>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2001-09-18T12:33:00Z</dcterms:created>
  <dc:creator>Mark W. Hackney</dc:creator>
  <dc:description/>
  <dc:language>en-CA</dc:language>
  <cp:lastModifiedBy>Mark W. Hackney</cp:lastModifiedBy>
  <cp:lastPrinted>2000-01-24T16:29:00Z</cp:lastPrinted>
  <dcterms:modified xsi:type="dcterms:W3CDTF">2001-09-24T16:46:00Z</dcterms:modified>
  <cp:revision>4</cp:revision>
  <dc:subject/>
  <dc:title/>
</cp:coreProperties>
</file>