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18, 2001</w:t>
      </w:r>
    </w:p>
    <w:p>
      <w:pPr>
        <w:pStyle w:val="Normal"/>
        <w:rPr/>
      </w:pPr>
      <w:r>
        <w:rPr/>
      </w:r>
    </w:p>
    <w:p>
      <w:pPr>
        <w:pStyle w:val="Normal"/>
        <w:rPr/>
      </w:pPr>
      <w:r>
        <w:rPr/>
        <w:t>Greg, we summarized the CPUC position in the “Outline of CPUC concerns regarding Transwestern’s initial settlement offer” dated October 16, 2001.  The following reviews and hopefully clarifies some of the main points.</w:t>
      </w:r>
    </w:p>
    <w:p>
      <w:pPr>
        <w:pStyle w:val="Normal"/>
        <w:rPr/>
      </w:pPr>
      <w:r>
        <w:rPr/>
      </w:r>
    </w:p>
    <w:p>
      <w:pPr>
        <w:pStyle w:val="Normal"/>
        <w:rPr/>
      </w:pPr>
      <w:r>
        <w:rPr/>
        <w:t xml:space="preserve">With respect to the issue of Transwestern’s use of market rates or market-based rates: As noted in the “Outline,” we believe it is important that Transwestern clarify in its tariff the kind of bids that can be considered by potential shippers.  Transwestern has the authority to charge negotiated rates, but does not have the authority to charge market-based rates.  We would like to see, therefore, a proposal from Transwestern for tariff provisions that explain to potential shippers the kind of negotiated rate bids Transwestern can accept as distinct from market rate or  market-based bids that Transwestern is not permitted to accept. </w:t>
      </w:r>
    </w:p>
    <w:p>
      <w:pPr>
        <w:pStyle w:val="Normal"/>
        <w:rPr/>
      </w:pPr>
      <w:r>
        <w:rPr/>
      </w:r>
    </w:p>
    <w:p>
      <w:pPr>
        <w:pStyle w:val="Normal"/>
        <w:rPr/>
      </w:pPr>
      <w:r>
        <w:rPr/>
        <w:t xml:space="preserve">With respect to allocating capacity to multiple bidders, please see </w:t>
      </w:r>
      <w:r>
        <w:rPr>
          <w:u w:val="single"/>
        </w:rPr>
        <w:t>item 5</w:t>
      </w:r>
      <w:r>
        <w:rPr/>
        <w:t xml:space="preserve"> in the “Outline.” We would like to see Transwestern propose a tariff provision that protects the availability of the recourse rate for shippers, which is essential according to the FERC if the pipeline is to be able to also use negotiated rates.  To protect the fundamentally necessary availability of the recourse rate, two things are required: 1)notice to shippers must be clear, detailed, complete, and issued to all potential shippers at the same time and in the same way; 2) shippers must be able to obtain the available capacity at no more than the recourse rate.   For shippers to be assured they can obtain the available capacity at no more than the recourse rate when there are multiple bids, Transwestern’s prorating the available capacity must give priority to recourse rate bidders.  If that did not happen, shippers would be forced into negotiated rates above the recourse rate to get as much of the capacity they require as possible. That pressure to pay above-recourse rates to get the capacity undermines the FERC’s rationale for believing negotiated rate authority would not be misused by a pipeline with market power. Therefore,  Transwestern’s tariff proposal regarding proration of available capacity when multiple bids are received should provide that the available capacity will first be prorated among recourse rate bidders.  If there is available capacity remaining, that capacity should be allocated among the negotiated rate bidders.  In other words, a negotiated rate that is above the recourse rate should not have equal status among the recourse rate bidders for allocating the available capacity prorata when there is more than one bid. </w:t>
      </w:r>
    </w:p>
    <w:p>
      <w:pPr>
        <w:pStyle w:val="Normal"/>
        <w:rPr/>
      </w:pPr>
      <w:r>
        <w:rPr/>
      </w:r>
    </w:p>
    <w:p>
      <w:pPr>
        <w:pStyle w:val="Normal"/>
        <w:rPr/>
      </w:pPr>
      <w:r>
        <w:rPr/>
        <w:t>Because  we believe Transwestern is not obliged to accept any  bid below the recourse rate, we assume in this discussion of prorating available capacity that a bid below the recourse rate will not be part of the allocation, though it certainly can be if there is excess capacity remaining.</w:t>
      </w:r>
    </w:p>
    <w:p>
      <w:pPr>
        <w:pStyle w:val="Normal"/>
        <w:rPr/>
      </w:pPr>
      <w:r>
        <w:rPr/>
      </w:r>
    </w:p>
    <w:p>
      <w:pPr>
        <w:pStyle w:val="Normal"/>
        <w:rPr/>
      </w:pPr>
      <w:r>
        <w:rPr/>
        <w:t>With respect to the CPUC’s view on whether Transwestern should have the right to negotiate a fixed rate above the recourse rate, we believe Transwestern has that right presently under the FERC’s policy statement.  Nonethrless, the fixed rate cannot be a market rate or market-based rate since Transwestern is not authorized to charge a market rate or market-based rate.</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2001-10-18T18:40:00Z</dcterms:created>
  <dc:creator>Ida Passamonti</dc:creator>
  <dc:description/>
  <dc:language>en-CA</dc:language>
  <cp:lastModifiedBy>Ida Passamonti</cp:lastModifiedBy>
  <dcterms:modified xsi:type="dcterms:W3CDTF">2001-10-18T21:25:00Z</dcterms:modified>
  <cp:revision>8</cp:revision>
  <dc:subject/>
  <dc:title>October 18, 2001</dc:title>
</cp:coreProperties>
</file>