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SCHEDULE M</w:t>
      </w:r>
    </w:p>
    <w:p>
      <w:pPr>
        <w:pStyle w:val="BlockTextBold"/>
        <w:rPr/>
      </w:pPr>
      <w:r>
        <w:rPr/>
        <w:t>(THIS SCHEDULE IS INCLUDED IF THE APPROPRIATE BOX ON THE COVER SHEET IS MARKED INDICATING A PARTY IS A GOVERNMENTAL ENTITY OR PUBLIC POWER SYSTEM)</w:t>
      </w:r>
    </w:p>
    <w:p>
      <w:pPr>
        <w:pStyle w:val="BodyTextFirstIndent"/>
        <w:rPr/>
      </w:pPr>
      <w:r>
        <w:rPr>
          <w:rStyle w:val="ParaNum"/>
        </w:rPr>
        <w:t>A.</w:t>
      </w:r>
      <w:r>
        <w:rPr/>
        <w:tab/>
        <w:t>The Parties agree to add the following definitions in Article One.</w:t>
      </w:r>
    </w:p>
    <w:p>
      <w:pPr>
        <w:pStyle w:val="QuoteFirstIndent"/>
        <w:rPr/>
      </w:pPr>
      <w:r>
        <w:rPr/>
        <w:t>“</w:t>
      </w:r>
      <w:r>
        <w:rPr/>
        <w:t>Act” means California Public Utilities Code Section 16461.</w:t>
      </w:r>
    </w:p>
    <w:p>
      <w:pPr>
        <w:pStyle w:val="QuoteFirstIndent"/>
        <w:rPr/>
      </w:pPr>
      <w:r>
        <w:rPr/>
        <w:t>“</w:t>
      </w:r>
      <w:r>
        <w:rPr/>
        <w:t>Governmental Entity or Public Power System” means a municipality, county, governmental board, public power authority, public utility district, joint action agency, or other similar political subdivision or public entity of the United States, one or more States or territories or any combination thereof.</w:t>
      </w:r>
    </w:p>
    <w:p>
      <w:pPr>
        <w:pStyle w:val="QuoteFirstIndent"/>
        <w:rPr/>
      </w:pPr>
      <w:r>
        <w:rPr/>
        <w:t>“</w:t>
      </w:r>
      <w:r>
        <w:rPr/>
        <w:t>Special Fund” means a fund or account of the Governmental Entity or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BodyTextFirstIndent"/>
        <w:rPr/>
      </w:pPr>
      <w:r>
        <w:rPr>
          <w:rStyle w:val="ParaNum"/>
        </w:rPr>
        <w:t>B.</w:t>
      </w:r>
      <w:r>
        <w:rPr/>
        <w:tab/>
        <w:t>The following sentence shall be added to the end of the definition of “Force Majeure” in Article One.</w:t>
      </w:r>
    </w:p>
    <w:p>
      <w:pPr>
        <w:pStyle w:val="Quote"/>
        <w:rPr/>
      </w:pPr>
      <w:r>
        <w:rPr/>
        <w:t>If the Claiming Party is a Governmental Entity or Public Power System, Force Majeure does not include any action taken by the Governmental Entity or Public Power System in its governmental capacity.</w:t>
      </w:r>
    </w:p>
    <w:p>
      <w:pPr>
        <w:pStyle w:val="BodyTextFirstIndent"/>
        <w:keepNext w:val="true"/>
        <w:rPr/>
      </w:pPr>
      <w:r>
        <w:rPr>
          <w:rStyle w:val="ParaNum"/>
        </w:rPr>
        <w:t>C.</w:t>
      </w:r>
      <w:r>
        <w:rPr/>
        <w:tab/>
        <w:t>The Parties agree to add the following representations and warranties to Section 10.2:</w:t>
      </w:r>
    </w:p>
    <w:p>
      <w:pPr>
        <w:pStyle w:val="QuoteFirstIndent"/>
        <w:rPr/>
      </w:pPr>
      <w:r>
        <w:rPr/>
        <w:t>Further and with respect to a Party that is a Governmental Entity or Public Power System, such Governmental Entity or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Governmental Entity or Public Power System are the duly elected or appointed incumbents in their positions and hold such positions in good standing in accordance with the Act and other applicable law, (iii) entry into and performance of this Master Agreement by Governmental Entity or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financing agreements, lease-purchase agreements, contracts, bond ordinances or indentures to which it is a party, the Act and all other relevant constitutional, organic or other governing documents and applicable law or (b) otherwise not subject to any prior claim under any and all financing agreements, lease-purchase agreements, contracts, bond ordinances or indentures to which it is a party, the Act and all other relevant constitutional, organic or other governing documents and applicable law and are available without limitation or deduction to satisfy all Governmental Entity or Public Power System’ obligations hereunder and under each Transaction or (c) are to be made solely from a Special Fund, (vi) entry into and performance of this Master Agreement and each Transaction by the Governmental Entity or Public Power System will not adversely affect the exclusion from gross income for federal income tax purposes of interest on any obligation of Governmental Entity or Public Power System otherwise entitled to such exclusion, and (vii) obligations to make payments hereunder do not constitute any kind of indebtedness of Governmental Entity or Public Power System or create any kind of lien on, or security interest in, any property or revenues of Governmental Entity or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BodyTextFirstIndent"/>
        <w:keepNext w:val="true"/>
        <w:rPr/>
      </w:pPr>
      <w:r>
        <w:rPr>
          <w:rStyle w:val="ParaNum"/>
        </w:rPr>
        <w:t>D.</w:t>
      </w:r>
      <w:r>
        <w:rPr/>
        <w:tab/>
        <w:t>The Parties agree to add the following sections to Article Three:</w:t>
      </w:r>
    </w:p>
    <w:p>
      <w:pPr>
        <w:pStyle w:val="QuoteFirstIndent"/>
        <w:rPr/>
      </w:pPr>
      <w:r>
        <w:rPr/>
        <w:t xml:space="preserve">Section </w:t>
      </w:r>
      <w:r>
        <w:rPr>
          <w:rStyle w:val="ParaNum"/>
        </w:rPr>
        <w:t>3.4</w:t>
      </w:r>
      <w:r>
        <w:rPr/>
        <w:t xml:space="preserve">  </w:t>
      </w:r>
      <w:r>
        <w:rPr>
          <w:u w:val="single"/>
        </w:rPr>
        <w:t>Public Power System’s Deliveries</w:t>
      </w:r>
      <w:r>
        <w:rPr/>
        <w:t>.  On the Effective Date and as a condition to the obligations of the other Party under this Agreement, Governmental Entity or Public Power System shall provide the other Party hereto (i) certified copies of all ordinances, resolutions, public notices and other documents evidencing the necessary authorizations with respect to the execution, delivery and performance by Governmental Entity or Public Power System of this Master Agreement and (ii) an opinion of counsel for Governmental Entity or Public Power System, in form and substance reasonably satisfactory to the Other Party, regarding the validity, binding effect and enforceability of this Master Agreement against Governmental Entity or Public Power System in respect of the Act and all other relevant constitutional organic or other governing documents and applicable law.</w:t>
      </w:r>
    </w:p>
    <w:p>
      <w:pPr>
        <w:pStyle w:val="QuoteFirstIndent"/>
        <w:rPr/>
      </w:pPr>
      <w:r>
        <w:rPr/>
        <w:t xml:space="preserve">Section </w:t>
      </w:r>
      <w:r>
        <w:rPr>
          <w:rStyle w:val="ParaNum"/>
        </w:rPr>
        <w:t>3.5</w:t>
      </w:r>
      <w:r>
        <w:rPr/>
        <w:t xml:space="preserve">   </w:t>
      </w:r>
      <w:r>
        <w:rPr>
          <w:u w:val="single"/>
        </w:rPr>
        <w:t>No Immunity Claim</w:t>
      </w:r>
      <w:r>
        <w:rPr/>
        <w:t>.  Governmental Entity or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BodyTextFirstIndent"/>
        <w:keepNext w:val="true"/>
        <w:rPr/>
      </w:pPr>
      <w:r>
        <w:rPr>
          <w:rStyle w:val="ParaNum"/>
        </w:rPr>
        <w:t>E.</w:t>
      </w:r>
      <w:r>
        <w:rPr/>
        <w:tab/>
        <w:t>If the appropriate box is checked on the Cover Sheet, as an alternative to selecting one of the options under Section 8.3, the Parties agree to add the following section to Article Three:</w:t>
      </w:r>
    </w:p>
    <w:p>
      <w:pPr>
        <w:pStyle w:val="QuoteFirstIndent"/>
        <w:rPr/>
      </w:pPr>
      <w:r>
        <w:rPr/>
        <w:t xml:space="preserve">Section </w:t>
      </w:r>
      <w:r>
        <w:rPr>
          <w:rStyle w:val="ParaNum"/>
        </w:rPr>
        <w:t xml:space="preserve">3.6 </w:t>
      </w:r>
      <w:r>
        <w:rPr/>
        <w:t xml:space="preserve"> </w:t>
      </w:r>
      <w:r>
        <w:rPr>
          <w:u w:val="single"/>
        </w:rPr>
        <w:t>Governmental Entity or Public Power System Security</w:t>
      </w:r>
      <w:r>
        <w:rPr/>
        <w:t>.  With respect to each Transaction, Governmental Entity or Public Power System shall (i) have created and set aside a Special Fund and (ii) upon execution of this Master Agreement and prior to the commencement of each subsequent fiscal year of Governmental Entity or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Governmental Entity or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or Public Power System shall be treated as the Defaulting Party.  Governmental Entity or Public Power System shall impose rates, fees and charges for municipal utility services and shall have allocated to the Special Fund a revenue base and annually collected revenues that is adequate to cover payment obligations hereunder and to generate annually the required Net Revenues Coverage Ratio throughout the entire Delivery Period.</w:t>
      </w:r>
    </w:p>
    <w:p>
      <w:pPr>
        <w:pStyle w:val="BodyTextFirstIndent"/>
        <w:keepNext w:val="true"/>
        <w:rPr/>
      </w:pPr>
      <w:r>
        <w:rPr>
          <w:rStyle w:val="ParaNum"/>
        </w:rPr>
        <w:t>F.</w:t>
      </w:r>
      <w:r>
        <w:rPr/>
        <w:tab/>
        <w:t>If the appropriate box is checked on the Cover Sheet, the Parties agree to add the following section to Article Eight:</w:t>
      </w:r>
    </w:p>
    <w:p>
      <w:pPr>
        <w:pStyle w:val="QuoteFirstIndent"/>
        <w:rPr/>
      </w:pPr>
      <w:r>
        <w:rPr/>
        <w:t xml:space="preserve">Section </w:t>
      </w:r>
      <w:r>
        <w:rPr>
          <w:rStyle w:val="ParaNum"/>
        </w:rPr>
        <w:t>8.4</w:t>
      </w:r>
      <w:r>
        <w:rPr/>
        <w:t xml:space="preserve">  </w:t>
      </w:r>
      <w:r>
        <w:rPr>
          <w:u w:val="single"/>
        </w:rPr>
        <w:t>Governmental Security</w:t>
      </w:r>
      <w:r>
        <w:rPr/>
        <w:t>.  As security for payment and performance of Governmental Entity’s or Public Power System’s obligations hereunder, Public Power System hereby pledges, sets over, assigns and grants to the other Party a security interest in all of Governmental Entity’s or Public Power System’s right, title and interest in and to those specific enterprise funds consisting of the Light Fund, Water Fund, Sewer and Wastewater Fund and Asuza Valley Water Fund..</w:t>
      </w:r>
    </w:p>
    <w:p>
      <w:pPr>
        <w:pStyle w:val="Heading"/>
        <w:spacing w:before="0" w:after="280"/>
        <w:rPr>
          <w:spacing w:val="-2"/>
        </w:rPr>
      </w:pPr>
      <w:r>
        <w:rPr>
          <w:spacing w:val="-2"/>
        </w:rPr>
      </w:r>
    </w:p>
    <w:sectPr>
      <w:footerReference w:type="default" r:id="rId2"/>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sz w:val="16"/>
      </w:rPr>
    </w:pPr>
    <w:r>
      <w:rPr>
        <w:rStyle w:val="PageNumber"/>
        <w:sz w:val="16"/>
      </w:rPr>
      <w:t>©COPYRIGHT 2000 by the Edison Electric Institute and National Energy Marketers Association</w:t>
    </w:r>
  </w:p>
  <w:p>
    <w:pPr>
      <w:pStyle w:val="Footer"/>
      <w:rPr>
        <w:sz w:val="16"/>
      </w:rPr>
    </w:pPr>
    <w:r>
      <w:rPr>
        <w:sz w:val="16"/>
      </w:rPr>
    </w:r>
  </w:p>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pPr>
    <w:rPr>
      <w:sz w:val="22"/>
      <w:szCs w:val="24"/>
    </w:rPr>
  </w:style>
  <w:style w:type="paragraph" w:styleId="INVOICEHD2">
    <w:name w:val="INVOICE HD2"/>
    <w:basedOn w:val="Normal"/>
    <w:qFormat/>
    <w:pPr>
      <w:tabs>
        <w:tab w:val="clear" w:pos="720"/>
        <w:tab w:val="left" w:pos="4680" w:leader="none"/>
      </w:tabs>
      <w:jc w:val="center"/>
    </w:pPr>
    <w:rPr>
      <w:rFonts w:ascii="Courier" w:hAnsi="Courier" w:cs="Courier"/>
      <w:sz w:val="22"/>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2001-02-21T16:57:00Z</dcterms:created>
  <dc:creator>WordProcessing</dc:creator>
  <dc:description/>
  <dc:language>en-CA</dc:language>
  <cp:lastModifiedBy>sstack</cp:lastModifiedBy>
  <cp:lastPrinted>2001-02-21T12:01:00Z</cp:lastPrinted>
  <dcterms:modified xsi:type="dcterms:W3CDTF">2001-02-21T17:31:00Z</dcterms:modified>
  <cp:revision>3</cp:revision>
  <dc:subject/>
  <dc:title>  </dc:title>
</cp:coreProperties>
</file>