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ind w:hanging="720" w:start="720" w:end="0"/>
        <w:jc w:val="both"/>
        <w:rPr>
          <w:spacing w:val="-2"/>
        </w:rPr>
      </w:pPr>
      <w:r>
        <w:rPr>
          <w:spacing w:val="-2"/>
        </w:rPr>
      </w:r>
    </w:p>
    <w:p>
      <w:pPr>
        <w:pStyle w:val="Normal"/>
        <w:tabs>
          <w:tab w:val="clear" w:pos="720"/>
          <w:tab w:val="left" w:pos="-1440" w:leader="none"/>
          <w:tab w:val="left" w:pos="-720" w:leader="none"/>
        </w:tabs>
        <w:suppressAutoHyphens w:val="true"/>
        <w:ind w:hanging="720" w:start="720" w:end="0"/>
        <w:jc w:val="both"/>
        <w:rPr>
          <w:spacing w:val="-2"/>
        </w:rPr>
      </w:pPr>
      <w:r>
        <w:rPr>
          <w:spacing w:val="-2"/>
        </w:rPr>
      </w:r>
    </w:p>
    <w:p>
      <w:pPr>
        <w:pStyle w:val="Normal"/>
        <w:tabs>
          <w:tab w:val="clear" w:pos="720"/>
          <w:tab w:val="left" w:pos="-1440" w:leader="none"/>
          <w:tab w:val="left" w:pos="-720" w:leader="none"/>
        </w:tabs>
        <w:suppressAutoHyphens w:val="true"/>
        <w:ind w:hanging="720" w:start="720" w:end="0"/>
        <w:jc w:val="both"/>
        <w:rPr>
          <w:spacing w:val="-2"/>
        </w:rPr>
      </w:pPr>
      <w:r>
        <w:rPr>
          <w:b/>
          <w:spacing w:val="-2"/>
        </w:rPr>
        <w:tab/>
        <w:t>Phase IV, Phase V, and Phase VI Expansion Projects</w:t>
      </w:r>
    </w:p>
    <w:p>
      <w:pPr>
        <w:pStyle w:val="Normal"/>
        <w:tabs>
          <w:tab w:val="clear" w:pos="720"/>
          <w:tab w:val="left" w:pos="-1440" w:leader="none"/>
          <w:tab w:val="left" w:pos="-720" w:leader="none"/>
        </w:tabs>
        <w:suppressAutoHyphens w:val="true"/>
        <w:ind w:hanging="720" w:start="720" w:end="0"/>
        <w:jc w:val="both"/>
        <w:rPr>
          <w:spacing w:val="-2"/>
        </w:rPr>
      </w:pPr>
      <w:r>
        <w:rPr>
          <w:spacing w:val="-2"/>
        </w:rPr>
      </w:r>
    </w:p>
    <w:p>
      <w:pPr>
        <w:pStyle w:val="BlockText"/>
        <w:rPr/>
      </w:pPr>
      <w:r>
        <w:rPr/>
        <w:t>On December 1, 1998, the Company filed an NGA Section 7 certificate application with the FERC in Docket No. CP99-94-000 to construct 205 miles of pipeline in order to extend the pipeline to Ft. Meyers, Florida and to expand capacity by 272,000 MMBtu/day (Phase IV Expansion).  Expansion costs were estimated at $351 million.  The Company requested that expansion costs be rolled into the rates applicable to FTS-2 (Incremental Expansion) service.  On June 2, 1999 the Company filed a Stipulation and Agreement (Phase IV Settlement) which resolved all non-environmental issues raised in the certificate proceeding and modified the Rate Case Settlement to provide that the Company cannot file a general rate case to increase its base tariff rates prior to October 1, 2001 (except in certain limited circumstances) and must file no later than October 1, 2003.  The Phase IV Settlement was approved by the FERC by order issued July 30, 1999 and became effective thirty days after the date that the Company accepted an order issued by the FERC approving the Phase IV Expansion project.  On August 23, 1999, the Company amended its application on file with the FERC to eliminate a portion of the proposed facilities (that would be delayed until the Phase V Expansion).  The amended application reflected the construction of 139.5 miles of pipeline and an expansion of capacity in order to provide incremental firm service of 196,405 MMBtu on an average day, with estimated project costs of $262 million.  The Phase IV Expansion was approved by FERC Order issued February 28, 2000 and accepted by FGT on March 29, 2000.  The Phase IV Expansion was placed in service on April 30, 2001.</w:t>
      </w:r>
    </w:p>
    <w:p>
      <w:pPr>
        <w:pStyle w:val="BlockText"/>
        <w:rPr/>
      </w:pPr>
      <w:r>
        <w:rPr/>
      </w:r>
    </w:p>
    <w:p>
      <w:pPr>
        <w:pStyle w:val="BlockText"/>
        <w:rPr/>
      </w:pPr>
      <w:r>
        <w:rPr/>
        <w:t>On December 1, 1999, the Company filed an NGA Section 7 certificate application with the FERC in Docket No. CP00-40-000 to construct 215 miles of pipeline and 90,000 horsepower and to acquire an undivided interest in the existing Mobile Bay Lateral owned by Koch Gateway Pipeline Company, in order to expand the system capacity to provide incremental firm service to several new and existing customers of 270,000 MMBtu on an average day (Phase V Expansion). Expansion and acquisition costs were estimated at $437 million. The Company requested that expansion costs be rolled into rates applicable to FTS-2 (Incremental Expansion) service. On August 1, 2000, and September 29, 2000, the Company amended its application on file with the FERC to reflect the withdrawal of two customers, the addition of a new customer and to modify the facilities to be constructed.  The amended application reflected the construction of 167 miles of pipeline and 133,000 horsepower to create additional capacity to provide 306,000 MMBtu of incremental firm service on an average annual day. The estimated costs of the revised project is $462 million.   The Phase V Expansion was approved by FERC Order issued July 27, 2001 and accepted by the Company on August 7, 2001.  The Phase V Expansion project construction is currently in progress an is on schedule for the first stage target in service date of April 1, 2002.</w:t>
      </w:r>
    </w:p>
    <w:p>
      <w:pPr>
        <w:pStyle w:val="BlockText"/>
        <w:rPr/>
      </w:pPr>
      <w:r>
        <w:rPr/>
      </w:r>
    </w:p>
    <w:p>
      <w:pPr>
        <w:pStyle w:val="BlockText"/>
        <w:ind w:hanging="0" w:end="-14"/>
        <w:rPr/>
      </w:pPr>
      <w:r>
        <w:rPr/>
        <w:t>On November 15, 2001, the Company filed an NGA Section 7 certificate application with the FERC in Docket No. CP02-27-000 to construct 33 miles of pipeline and 18,600 horsepower in order to expand the system to provide incremental firm service to several new and existing customers of 85,000 MMBtu on an average day (Phase VI Expansion).  Expansion costs were estimated at $105 million. The Company requested the expansion costs be rolled into rates applicable to FTS-2 (Incremental Expansion) service.  The FERC issued a Preliminary Determination on non-environmental issues on February 28, 2002.  The Company expects an order approving the Phase VI Expansion to be issued in the third quarter of 2002.</w:t>
      </w:r>
    </w:p>
    <w:p>
      <w:pPr>
        <w:pStyle w:val="BlockText"/>
        <w:ind w:hanging="0" w:end="-14"/>
        <w:rPr/>
      </w:pPr>
      <w:r>
        <w:rPr/>
      </w:r>
    </w:p>
    <w:p>
      <w:pPr>
        <w:pStyle w:val="BlockText"/>
        <w:ind w:hanging="0" w:end="-14"/>
        <w:rPr/>
      </w:pPr>
      <w:r>
        <w:rPr/>
        <w:t>The Company is currently evaluating future system enhancements/expansions.</w:t>
      </w:r>
    </w:p>
    <w:p>
      <w:pPr>
        <w:pStyle w:val="BlockText"/>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720" w:leader="none"/>
      </w:tabs>
      <w:suppressAutoHyphens w:val="true"/>
      <w:ind w:hanging="720" w:start="720" w:end="0"/>
      <w:jc w:val="center"/>
      <w:outlineLvl w:val="0"/>
    </w:pPr>
    <w:rPr>
      <w:b/>
      <w:spacing w:val="-2"/>
      <w:sz w:val="20"/>
      <w:szCs w:val="20"/>
    </w:rPr>
  </w:style>
  <w:style w:type="paragraph" w:styleId="Heading2">
    <w:name w:val="heading 2"/>
    <w:basedOn w:val="Normal"/>
    <w:next w:val="Normal"/>
    <w:qFormat/>
    <w:pPr>
      <w:keepNext w:val="true"/>
      <w:numPr>
        <w:ilvl w:val="1"/>
        <w:numId w:val="1"/>
      </w:numPr>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240" w:leader="none"/>
        <w:tab w:val="left" w:pos="6480" w:leader="none"/>
      </w:tabs>
      <w:suppressAutoHyphens w:val="true"/>
      <w:ind w:hanging="720" w:start="720" w:end="810"/>
      <w:jc w:val="center"/>
      <w:outlineLvl w:val="1"/>
    </w:pPr>
    <w:rPr>
      <w:b/>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288" w:leader="none"/>
        <w:tab w:val="left" w:pos="1080" w:leader="none"/>
      </w:tabs>
      <w:suppressAutoHyphens w:val="true"/>
      <w:ind w:firstLine="360" w:start="720" w:end="-14"/>
      <w:jc w:val="both"/>
    </w:pPr>
    <w:rPr>
      <w:spacing w:val="-2"/>
      <w:sz w:val="20"/>
      <w:szCs w:val="20"/>
    </w:rPr>
  </w:style>
  <w:style w:type="paragraph" w:styleId="BodyTextIndent2">
    <w:name w:val="Body Text Indent 2"/>
    <w:basedOn w:val="Normal"/>
    <w:qFormat/>
    <w:pPr>
      <w:tabs>
        <w:tab w:val="left" w:pos="-1440" w:leader="none"/>
        <w:tab w:val="left" w:pos="-720" w:leader="none"/>
        <w:tab w:val="left" w:pos="720" w:leader="none"/>
        <w:tab w:val="left" w:pos="1080" w:leader="none"/>
      </w:tabs>
      <w:suppressAutoHyphens w:val="true"/>
      <w:ind w:hanging="0" w:start="720" w:end="0"/>
      <w:jc w:val="both"/>
    </w:pPr>
    <w:rPr>
      <w:spacing w:val="-2"/>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2002-03-01T18:56:00Z</dcterms:created>
  <dc:creator>dmcelli</dc:creator>
  <dc:description/>
  <dc:language>en-CA</dc:language>
  <cp:lastModifiedBy>sveatch</cp:lastModifiedBy>
  <dcterms:modified xsi:type="dcterms:W3CDTF">2002-03-01T18:56:00Z</dcterms:modified>
  <cp:revision>2</cp:revision>
  <dc:subject/>
  <dc:title>(9)</dc:title>
</cp:coreProperties>
</file>