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78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rPr>
                <w:i/>
                <w:i/>
                <w:sz w:val="22"/>
              </w:rPr>
            </w:pPr>
            <w:r>
              <w:rPr>
                <w:i/>
                <w:sz w:val="22"/>
              </w:rPr>
              <w:t>P.O. Box 4428</w:t>
            </w:r>
          </w:p>
          <w:p>
            <w:pPr>
              <w:pStyle w:val="Normal"/>
              <w:tabs>
                <w:tab w:val="clear" w:pos="720"/>
                <w:tab w:val="left" w:pos="2412" w:leader="none"/>
              </w:tabs>
              <w:ind w:start="1962" w:end="0"/>
              <w:rPr>
                <w:i/>
                <w:i/>
                <w:sz w:val="22"/>
              </w:rPr>
            </w:pPr>
            <w:r>
              <w:rPr>
                <w:i/>
                <w:sz w:val="22"/>
              </w:rPr>
              <w:t>Houston, TX  77210-4428</w:t>
            </w:r>
          </w:p>
          <w:p>
            <w:pPr>
              <w:pStyle w:val="Normal"/>
              <w:tabs>
                <w:tab w:val="clear" w:pos="720"/>
                <w:tab w:val="left" w:pos="2412" w:leader="none"/>
              </w:tabs>
              <w:ind w:start="1962" w:end="0"/>
              <w:rPr>
                <w:i/>
                <w:i/>
                <w:sz w:val="22"/>
              </w:rPr>
            </w:pPr>
            <w:r>
              <w:rPr>
                <w:i/>
                <w:sz w:val="22"/>
              </w:rPr>
              <w:t>Phone (713) 853-3300</w:t>
            </w:r>
          </w:p>
          <w:p>
            <w:pPr>
              <w:pStyle w:val="Heading1"/>
              <w:rPr/>
            </w:pPr>
            <w:r>
              <w:rPr/>
              <w:t>Fax (713) 646-4816</w:t>
            </w:r>
          </w:p>
        </w:tc>
      </w:tr>
    </w:tbl>
    <w:p>
      <w:pPr>
        <w:pStyle w:val="Normal"/>
        <w:jc w:val="center"/>
        <w:rPr/>
      </w:pPr>
      <w:r>
        <w:rPr/>
      </w:r>
    </w:p>
    <w:p>
      <w:pPr>
        <w:pStyle w:val="Normal"/>
        <w:jc w:val="center"/>
        <w:rPr>
          <w:sz w:val="22"/>
        </w:rPr>
      </w:pPr>
      <w:r>
        <w:rPr>
          <w:sz w:val="22"/>
        </w:rPr>
        <w:t>January 3, 2001</w:t>
      </w:r>
    </w:p>
    <w:p>
      <w:pPr>
        <w:pStyle w:val="Normal"/>
        <w:jc w:val="center"/>
        <w:rPr>
          <w:sz w:val="22"/>
        </w:rPr>
      </w:pPr>
      <w:r>
        <w:rPr>
          <w:sz w:val="22"/>
        </w:rPr>
      </w:r>
    </w:p>
    <w:p>
      <w:pPr>
        <w:pStyle w:val="Normal"/>
        <w:rPr>
          <w:sz w:val="22"/>
        </w:rPr>
      </w:pPr>
      <w:r>
        <w:rPr>
          <w:sz w:val="22"/>
        </w:rPr>
        <w:t>Citizens Utilities Company</w:t>
      </w:r>
    </w:p>
    <w:p>
      <w:pPr>
        <w:pStyle w:val="Normal"/>
        <w:rPr>
          <w:sz w:val="22"/>
        </w:rPr>
      </w:pPr>
      <w:r>
        <w:rPr>
          <w:sz w:val="22"/>
        </w:rPr>
        <w:t>% Louisiana Gas Service Co</w:t>
      </w:r>
    </w:p>
    <w:p>
      <w:pPr>
        <w:pStyle w:val="Normal"/>
        <w:rPr>
          <w:sz w:val="22"/>
        </w:rPr>
      </w:pPr>
      <w:r>
        <w:rPr>
          <w:sz w:val="22"/>
        </w:rPr>
        <w:t>PO Box 433</w:t>
      </w:r>
    </w:p>
    <w:p>
      <w:pPr>
        <w:pStyle w:val="Normal"/>
        <w:rPr>
          <w:sz w:val="22"/>
        </w:rPr>
      </w:pPr>
      <w:r>
        <w:rPr>
          <w:sz w:val="22"/>
        </w:rPr>
        <w:t>Harvey, LA 70059-0433</w:t>
      </w:r>
    </w:p>
    <w:p>
      <w:pPr>
        <w:pStyle w:val="Normal"/>
        <w:rPr>
          <w:sz w:val="22"/>
        </w:rPr>
      </w:pPr>
      <w:r>
        <w:rPr>
          <w:sz w:val="22"/>
        </w:rPr>
        <w:fldChar w:fldCharType="begin"/>
      </w:r>
      <w:r>
        <w:rPr>
          <w:sz w:val="22"/>
        </w:rPr>
        <w:instrText xml:space="preserve"> MERGEFIELD CounterpartyAddrCity </w:instrText>
      </w:r>
      <w:r>
        <w:rPr>
          <w:sz w:val="22"/>
        </w:rPr>
        <w:fldChar w:fldCharType="separate"/>
      </w:r>
      <w:r>
        <w:rPr>
          <w:sz w:val="22"/>
        </w:rPr>
      </w:r>
      <w:r>
        <w:rPr>
          <w:sz w:val="22"/>
        </w:rPr>
        <w:fldChar w:fldCharType="end"/>
      </w:r>
      <w:r>
        <w:rPr>
          <w:sz w:val="22"/>
        </w:rPr>
        <w:fldChar w:fldCharType="begin"/>
      </w:r>
      <w:r>
        <w:rPr>
          <w:sz w:val="22"/>
        </w:rPr>
        <w:instrText xml:space="preserve"> MERGEFIELD CounterpartyAddrState </w:instrText>
      </w:r>
      <w:r>
        <w:rPr>
          <w:sz w:val="22"/>
        </w:rPr>
        <w:fldChar w:fldCharType="separate"/>
      </w:r>
      <w:r>
        <w:rPr>
          <w:sz w:val="22"/>
        </w:rPr>
      </w:r>
      <w:r>
        <w:rPr>
          <w:sz w:val="22"/>
        </w:rPr>
        <w:fldChar w:fldCharType="end"/>
      </w:r>
      <w:r>
        <w:rPr>
          <w:sz w:val="22"/>
        </w:rPr>
        <w:t xml:space="preserve"> </w:t>
      </w:r>
      <w:r>
        <w:rPr>
          <w:sz w:val="22"/>
        </w:rPr>
        <w:fldChar w:fldCharType="begin"/>
      </w:r>
      <w:r>
        <w:rPr>
          <w:sz w:val="22"/>
        </w:rPr>
        <w:instrText xml:space="preserve"> MERGEFIELD CounterpartyAddrZip </w:instrText>
      </w:r>
      <w:r>
        <w:rPr>
          <w:sz w:val="22"/>
        </w:rPr>
        <w:fldChar w:fldCharType="separate"/>
      </w:r>
      <w:r>
        <w:rPr>
          <w:sz w:val="22"/>
        </w:rPr>
      </w:r>
      <w:r>
        <w:rPr>
          <w:sz w:val="22"/>
        </w:rPr>
        <w:fldChar w:fldCharType="end"/>
      </w:r>
    </w:p>
    <w:p>
      <w:pPr>
        <w:pStyle w:val="Normal"/>
        <w:numPr>
          <w:ilvl w:val="0"/>
          <w:numId w:val="0"/>
        </w:numPr>
        <w:outlineLvl w:val="0"/>
        <w:rPr>
          <w:sz w:val="22"/>
        </w:rPr>
      </w:pPr>
      <w:r>
        <w:rPr>
          <w:sz w:val="22"/>
        </w:rPr>
        <w:t>Attn:  Charlie Sanchez</w:t>
      </w:r>
    </w:p>
    <w:p>
      <w:pPr>
        <w:pStyle w:val="Normal"/>
        <w:rPr>
          <w:sz w:val="22"/>
        </w:rPr>
      </w:pPr>
      <w:r>
        <w:rPr>
          <w:sz w:val="22"/>
        </w:rPr>
        <w:t xml:space="preserve">Fax No.:  713 655 1623  </w:t>
      </w:r>
    </w:p>
    <w:p>
      <w:pPr>
        <w:pStyle w:val="Heading2"/>
        <w:ind w:hanging="0" w:start="0"/>
        <w:rPr>
          <w:b w:val="false"/>
        </w:rPr>
      </w:pPr>
      <w:r>
        <w:rPr>
          <w:b w:val="false"/>
        </w:rPr>
        <w:t>Trans. No.:  EU8529.1 / 67851</w:t>
      </w:r>
    </w:p>
    <w:p>
      <w:pPr>
        <w:pStyle w:val="Normal"/>
        <w:rPr>
          <w:b/>
        </w:rPr>
      </w:pPr>
      <w:r>
        <w:rPr>
          <w:b/>
        </w:rPr>
      </w:r>
    </w:p>
    <w:p>
      <w:pPr>
        <w:pStyle w:val="Normal"/>
        <w:rPr>
          <w:sz w:val="22"/>
        </w:rPr>
      </w:pPr>
      <w:r>
        <w:rPr>
          <w:sz w:val="22"/>
        </w:rPr>
      </w:r>
    </w:p>
    <w:p>
      <w:pPr>
        <w:pStyle w:val="Normal"/>
        <w:jc w:val="center"/>
        <w:rPr>
          <w:b/>
          <w:sz w:val="22"/>
        </w:rPr>
      </w:pPr>
      <w:r>
        <w:rPr>
          <w:b/>
          <w:sz w:val="22"/>
        </w:rPr>
        <w:t>TRANSACTION AGREEMENT - AMENDMENT</w:t>
      </w:r>
    </w:p>
    <w:p>
      <w:pPr>
        <w:pStyle w:val="Normal"/>
        <w:rPr>
          <w:b/>
          <w:sz w:val="22"/>
        </w:rPr>
      </w:pPr>
      <w:r>
        <w:rPr>
          <w:b/>
          <w:sz w:val="22"/>
        </w:rPr>
      </w:r>
    </w:p>
    <w:p>
      <w:pPr>
        <w:pStyle w:val="Normal"/>
        <w:rPr>
          <w:sz w:val="22"/>
        </w:rPr>
      </w:pPr>
      <w:r>
        <w:rPr>
          <w:sz w:val="22"/>
        </w:rPr>
      </w:r>
    </w:p>
    <w:p>
      <w:pPr>
        <w:pStyle w:val="Normal"/>
        <w:ind w:firstLine="720" w:end="0"/>
        <w:jc w:val="both"/>
        <w:rPr>
          <w:sz w:val="22"/>
        </w:rPr>
      </w:pPr>
      <w:r>
        <w:rPr>
          <w:sz w:val="22"/>
        </w:rPr>
        <w:t>Citizens Utilities Company ("Customer") and Enron North America (“ENA” and “Company”) are parties to that certain Transaction Agreement dated March 11, 1999.  On January 3, 2001, Customer and Company agreed to fix the Contract Price for part of the Contract Quantity as outlined below for the Period of Delivery of February 1, 2001 through February 28, 2001.  This letter shall verify said alternate arrangements.</w:t>
      </w:r>
    </w:p>
    <w:p>
      <w:pPr>
        <w:pStyle w:val="Normal"/>
        <w:ind w:firstLine="720" w:end="0"/>
        <w:jc w:val="both"/>
        <w:rPr>
          <w:sz w:val="22"/>
        </w:rPr>
      </w:pPr>
      <w:r>
        <w:rPr>
          <w:sz w:val="22"/>
        </w:rPr>
      </w:r>
    </w:p>
    <w:p>
      <w:pPr>
        <w:pStyle w:val="Normal"/>
        <w:ind w:firstLine="720" w:end="0"/>
        <w:jc w:val="both"/>
        <w:rPr/>
      </w:pPr>
      <w:r>
        <w:rPr>
          <w:b/>
          <w:sz w:val="22"/>
        </w:rPr>
        <w:t>CONTRACT QUANTITY:</w:t>
        <w:tab/>
      </w:r>
      <w:r>
        <w:rPr>
          <w:sz w:val="22"/>
        </w:rPr>
        <w:t>50,000 MMBtu per month</w:t>
      </w:r>
    </w:p>
    <w:p>
      <w:pPr>
        <w:pStyle w:val="Normal"/>
        <w:ind w:firstLine="720" w:end="0"/>
        <w:jc w:val="both"/>
        <w:rPr>
          <w:sz w:val="22"/>
        </w:rPr>
      </w:pPr>
      <w:r>
        <w:rPr>
          <w:sz w:val="22"/>
        </w:rPr>
      </w:r>
    </w:p>
    <w:p>
      <w:pPr>
        <w:pStyle w:val="Normal"/>
        <w:ind w:firstLine="720" w:end="0"/>
        <w:jc w:val="both"/>
        <w:rPr/>
      </w:pPr>
      <w:r>
        <w:rPr>
          <w:b/>
          <w:sz w:val="22"/>
        </w:rPr>
        <w:t>CONTRACT PRICE:</w:t>
        <w:tab/>
        <w:tab/>
      </w:r>
      <w:r>
        <w:rPr>
          <w:sz w:val="22"/>
        </w:rPr>
        <w:t>US Dollars $8.20000</w:t>
      </w:r>
    </w:p>
    <w:p>
      <w:pPr>
        <w:pStyle w:val="Normal"/>
        <w:ind w:firstLine="720" w:end="0"/>
        <w:jc w:val="both"/>
        <w:rPr>
          <w:sz w:val="22"/>
        </w:rPr>
      </w:pPr>
      <w:r>
        <w:rPr>
          <w:sz w:val="22"/>
        </w:rPr>
      </w:r>
    </w:p>
    <w:p>
      <w:pPr>
        <w:pStyle w:val="Normal"/>
        <w:ind w:firstLine="720" w:end="0"/>
        <w:jc w:val="both"/>
        <w:rPr>
          <w:sz w:val="22"/>
        </w:rPr>
      </w:pPr>
      <w:r>
        <w:rPr>
          <w:sz w:val="22"/>
        </w:rPr>
        <w:t>Please acknowledge your agreement to the revised terms set out above by signing the enclosed copy of this letter in the space provided.  Return same to the attention of the Documentation Desk at the letterhead address or Fax your response using the following facsimile number (713) 646-4816.  If you have any questions or comments, please call Ellen Wallumrod at (713) 345-4099 or your account representative.</w:t>
      </w:r>
    </w:p>
    <w:p>
      <w:pPr>
        <w:pStyle w:val="Normal"/>
        <w:ind w:firstLine="720" w:end="0"/>
        <w:jc w:val="both"/>
        <w:rPr>
          <w:sz w:val="22"/>
        </w:rPr>
      </w:pPr>
      <w:r>
        <w:rPr>
          <w:sz w:val="22"/>
        </w:rPr>
      </w:r>
    </w:p>
    <w:p>
      <w:pPr>
        <w:pStyle w:val="Normal"/>
        <w:ind w:firstLine="720" w:end="0"/>
        <w:jc w:val="both"/>
        <w:rPr>
          <w:sz w:val="22"/>
        </w:rPr>
      </w:pPr>
      <w:r>
        <w:rPr>
          <w:sz w:val="22"/>
        </w:rPr>
      </w:r>
    </w:p>
    <w:p>
      <w:pPr>
        <w:pStyle w:val="Normal"/>
        <w:jc w:val="both"/>
        <w:rPr>
          <w:sz w:val="22"/>
        </w:rPr>
      </w:pPr>
      <w:r>
        <w:rPr>
          <w:sz w:val="22"/>
        </w:rPr>
        <w:t>AGREED AND ACCEPTED:</w:t>
      </w:r>
    </w:p>
    <w:p>
      <w:pPr>
        <w:pStyle w:val="Normal"/>
        <w:jc w:val="both"/>
        <w:rPr>
          <w:sz w:val="22"/>
        </w:rPr>
      </w:pPr>
      <w:r>
        <w:rPr>
          <w:sz w:val="22"/>
        </w:rPr>
      </w:r>
    </w:p>
    <w:p>
      <w:pPr>
        <w:pStyle w:val="Normal"/>
        <w:rPr>
          <w:sz w:val="22"/>
        </w:rPr>
      </w:pPr>
      <w:r>
        <w:rPr>
          <w:sz w:val="22"/>
        </w:rPr>
        <w:t>Citizens Utilities Company</w:t>
        <w:tab/>
        <w:tab/>
        <w:tab/>
        <w:tab/>
        <w:t>Enron North America</w:t>
      </w:r>
    </w:p>
    <w:p>
      <w:pPr>
        <w:pStyle w:val="Normal"/>
        <w:jc w:val="both"/>
        <w:rPr>
          <w:sz w:val="22"/>
        </w:rPr>
      </w:pPr>
      <w:r>
        <w:rPr>
          <w:sz w:val="22"/>
        </w:rPr>
        <w:tab/>
        <w:tab/>
      </w:r>
    </w:p>
    <w:p>
      <w:pPr>
        <w:pStyle w:val="Normal"/>
        <w:rPr>
          <w:sz w:val="22"/>
        </w:rPr>
      </w:pPr>
      <w:r>
        <w:rPr>
          <w:sz w:val="22"/>
          <w:u w:val="single"/>
        </w:rPr>
        <w:tab/>
        <w:tab/>
        <w:tab/>
        <w:tab/>
        <w:tab/>
      </w:r>
      <w:r>
        <w:rPr>
          <w:sz w:val="22"/>
        </w:rPr>
        <w:tab/>
        <w:tab/>
      </w:r>
      <w:r>
        <w:rPr>
          <w:sz w:val="22"/>
          <w:u w:val="single"/>
        </w:rPr>
        <w:tab/>
        <w:tab/>
        <w:tab/>
        <w:tab/>
        <w:tab/>
        <w:tab/>
      </w:r>
    </w:p>
    <w:p>
      <w:pPr>
        <w:pStyle w:val="Normal"/>
        <w:rPr>
          <w:sz w:val="22"/>
        </w:rPr>
      </w:pPr>
      <w:r>
        <w:rPr>
          <w:sz w:val="22"/>
        </w:rPr>
      </w:r>
    </w:p>
    <w:p>
      <w:pPr>
        <w:pStyle w:val="Normal"/>
        <w:rPr>
          <w:sz w:val="22"/>
        </w:rPr>
      </w:pPr>
      <w:r>
        <w:rPr>
          <w:sz w:val="22"/>
        </w:rPr>
        <w:t>(Title)</w:t>
      </w:r>
      <w:r>
        <w:rPr>
          <w:sz w:val="22"/>
          <w:u w:val="single"/>
        </w:rPr>
        <w:tab/>
        <w:tab/>
        <w:tab/>
        <w:tab/>
        <w:tab/>
      </w:r>
      <w:r>
        <w:rPr>
          <w:sz w:val="22"/>
        </w:rPr>
        <w:tab/>
        <w:tab/>
        <w:t>(Title)</w:t>
      </w:r>
      <w:r>
        <w:rPr>
          <w:sz w:val="22"/>
          <w:u w:val="single"/>
        </w:rPr>
        <w:tab/>
        <w:tab/>
        <w:tab/>
        <w:tab/>
        <w:tab/>
        <w:tab/>
      </w:r>
    </w:p>
    <w:p>
      <w:pPr>
        <w:pStyle w:val="Normal"/>
        <w:rPr>
          <w:sz w:val="22"/>
        </w:rPr>
      </w:pPr>
      <w:r>
        <w:rPr>
          <w:sz w:val="22"/>
        </w:rPr>
        <w:t>(Date)</w:t>
      </w:r>
      <w:r>
        <w:rPr>
          <w:sz w:val="22"/>
          <w:u w:val="single"/>
        </w:rPr>
        <w:tab/>
        <w:tab/>
        <w:tab/>
        <w:tab/>
        <w:tab/>
      </w:r>
      <w:r>
        <w:rPr>
          <w:sz w:val="22"/>
        </w:rPr>
        <w:tab/>
        <w:tab/>
        <w:t>(Date)</w:t>
      </w:r>
      <w:r>
        <w:rPr>
          <w:sz w:val="22"/>
          <w:u w:val="single"/>
        </w:rPr>
        <w:tab/>
        <w:tab/>
        <w:tab/>
        <w:tab/>
        <w:tab/>
        <w:tab/>
      </w:r>
    </w:p>
    <w:p>
      <w:pPr>
        <w:pStyle w:val="Normal"/>
        <w:rPr>
          <w:sz w:val="22"/>
        </w:rPr>
      </w:pPr>
      <w:r>
        <w:rPr>
          <w:sz w:val="22"/>
        </w:rPr>
      </w:r>
    </w:p>
    <w:p>
      <w:pPr>
        <w:pStyle w:val="Normal"/>
        <w:rPr>
          <w:sz w:val="22"/>
        </w:rPr>
      </w:pPr>
      <w:r>
        <w:rPr>
          <w:sz w:val="22"/>
        </w:rPr>
      </w:r>
    </w:p>
    <w:sectPr>
      <w:headerReference w:type="default" r:id="rId3"/>
      <w:headerReference w:type="first" r:id="rId4"/>
      <w:type w:val="nextPage"/>
      <w:pgSz w:w="12240" w:h="15840"/>
      <w:pgMar w:left="1440" w:right="144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CG Times (W1)">
    <w:altName w:val="Times New Roman"/>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fldChar w:fldCharType="begin"/>
    </w:r>
    <w:r>
      <w:rPr/>
      <w:instrText xml:space="preserve"> SUBJECT </w:instrText>
    </w:r>
    <w:r>
      <w:rPr/>
      <w:fldChar w:fldCharType="separate"/>
    </w:r>
    <w:r>
      <w:rPr/>
      <w:t>Cross Timbers Oil Company</w:t>
    </w:r>
    <w:r>
      <w:rPr/>
      <w:fldChar w:fldCharType="end"/>
    </w:r>
  </w:p>
  <w:p>
    <w:pPr>
      <w:pStyle w:val="Header"/>
      <w:rPr/>
    </w:pPr>
    <w:r>
      <w:rPr/>
      <w:t xml:space="preserve">Trans. #:  </w:t>
    </w:r>
    <w:r>
      <w:rPr/>
      <w:fldChar w:fldCharType="begin"/>
    </w:r>
    <w:r>
      <w:rPr/>
      <w:instrText xml:space="preserve"> TITLE </w:instrText>
    </w:r>
    <w:r>
      <w:rPr/>
      <w:fldChar w:fldCharType="separate"/>
    </w:r>
    <w:r>
      <w:rPr/>
      <w:t>Q35983.2</w:t>
    </w:r>
    <w:r>
      <w:rPr/>
      <w:fldChar w:fldCharType="end"/>
    </w:r>
  </w:p>
  <w:p>
    <w:pPr>
      <w:pStyle w:val="Header"/>
      <w:rPr/>
    </w:pPr>
    <w:r>
      <w:rPr/>
      <w:t xml:space="preserve">Page </w:t>
    </w:r>
    <w:r>
      <w:rPr/>
      <w:fldChar w:fldCharType="begin"/>
    </w:r>
    <w:r>
      <w:rPr/>
      <w:instrText xml:space="preserve"> PAGE </w:instrText>
    </w:r>
    <w:r>
      <w:rPr/>
      <w:fldChar w:fldCharType="separate"/>
    </w:r>
    <w:r>
      <w:rPr/>
      <w:t>0</w:t>
    </w:r>
    <w:r>
      <w:rPr/>
      <w:fldChar w:fldCharType="end"/>
    </w:r>
  </w:p>
  <w:p>
    <w:pPr>
      <w:pStyle w:val="Header"/>
      <w:rPr>
        <w:u w:val="single"/>
      </w:rPr>
    </w:pPr>
    <w:r>
      <w:rPr>
        <w:u w:val="single"/>
      </w:rPr>
      <w:tab/>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b/>
        <w:sz w:val="20"/>
      </w:rPr>
    </w:pPr>
    <w:r>
      <w:rPr>
        <w:b/>
        <w:sz w:val="20"/>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snapToGrid w:val="false"/>
            <w:rPr/>
          </w:pPr>
          <w:r>
            <w:rPr/>
          </w:r>
        </w:p>
      </w:tc>
      <w:tc>
        <w:tcPr>
          <w:tcW w:w="4788" w:type="dxa"/>
          <w:tcBorders/>
        </w:tcPr>
        <w:p>
          <w:pPr>
            <w:pStyle w:val="Normal"/>
            <w:tabs>
              <w:tab w:val="clear" w:pos="720"/>
              <w:tab w:val="left" w:pos="2412" w:leader="none"/>
            </w:tabs>
            <w:snapToGrid w:val="false"/>
            <w:ind w:start="1962" w:end="0"/>
            <w:rPr>
              <w:sz w:val="20"/>
            </w:rPr>
          </w:pPr>
          <w:r>
            <w:rPr>
              <w:sz w:val="20"/>
            </w:rPr>
          </w:r>
        </w:p>
      </w:tc>
    </w:tr>
  </w:tbl>
  <w:p>
    <w:pPr>
      <w:pStyle w:val="Normal"/>
      <w:rPr>
        <w:rFonts w:ascii="CG Times (W1);Times New Roman" w:hAnsi="CG Times (W1);Times New Roman" w:cs="CG Times (W1);Times New Roman"/>
        <w:sz w:val="18"/>
      </w:rPr>
    </w:pPr>
    <w:r>
      <w:rPr>
        <w:rFonts w:cs="CG Times (W1);Times New Roman" w:ascii="CG Times (W1);Times New Roman" w:hAnsi="CG Times (W1);Times New Roman"/>
        <w:sz w:val="18"/>
      </w:rPr>
    </w:r>
  </w:p>
  <w:p>
    <w:pPr>
      <w:pStyle w:val="Header"/>
      <w:rPr>
        <w:rFonts w:ascii="CG Times (W1);Times New Roman" w:hAnsi="CG Times (W1);Times New Roman" w:cs="CG Times (W1);Times New Roman"/>
        <w:sz w:val="18"/>
      </w:rPr>
    </w:pPr>
    <w:r>
      <w:rPr>
        <w:rFonts w:cs="CG Times (W1);Times New Roman" w:ascii="CG Times (W1);Times New Roman" w:hAnsi="CG Times (W1);Times New Roman"/>
        <w:sz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2412" w:leader="none"/>
      </w:tabs>
      <w:ind w:hanging="0" w:start="1962" w:end="0"/>
      <w:outlineLvl w:val="0"/>
    </w:pPr>
    <w:rPr>
      <w:i/>
      <w:sz w:val="22"/>
    </w:rPr>
  </w:style>
  <w:style w:type="paragraph" w:styleId="Heading2">
    <w:name w:val="heading 2"/>
    <w:basedOn w:val="Normal"/>
    <w:next w:val="Normal"/>
    <w:qFormat/>
    <w:pPr>
      <w:keepNext w:val="true"/>
      <w:numPr>
        <w:ilvl w:val="1"/>
        <w:numId w:val="1"/>
      </w:numPr>
      <w:outlineLvl w:val="1"/>
    </w:pPr>
    <w:rPr>
      <w:b/>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2001-01-04T14:21:00Z</dcterms:created>
  <dc:creator>ECT</dc:creator>
  <dc:description/>
  <dc:language>en-CA</dc:language>
  <cp:lastModifiedBy>ewallumr</cp:lastModifiedBy>
  <dcterms:modified xsi:type="dcterms:W3CDTF">2001-01-04T14:29:00Z</dcterms:modified>
  <cp:revision>3</cp:revision>
  <dc:subject>Cross Timbers Oil Company</dc:subject>
  <dc:title>Q35983.2</dc:title>
</cp:coreProperties>
</file>