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288" w:type="dxa"/>
        <w:jc w:val="start"/>
        <w:tblInd w:w="0" w:type="dxa"/>
        <w:tblLayout w:type="fixed"/>
        <w:tblCellMar>
          <w:top w:w="0" w:type="dxa"/>
          <w:start w:w="108" w:type="dxa"/>
          <w:bottom w:w="0" w:type="dxa"/>
          <w:end w:w="108" w:type="dxa"/>
        </w:tblCellMar>
      </w:tblPr>
      <w:tblGrid>
        <w:gridCol w:w="9288"/>
      </w:tblGrid>
      <w:tr>
        <w:trPr/>
        <w:tc>
          <w:tcPr>
            <w:tcW w:w="9288" w:type="dxa"/>
            <w:tcBorders/>
          </w:tcPr>
          <w:p>
            <w:pPr>
              <w:pStyle w:val="Normal"/>
              <w:tabs>
                <w:tab w:val="clear" w:pos="720"/>
                <w:tab w:val="left" w:pos="2412" w:leader="none"/>
              </w:tabs>
              <w:ind w:start="1962" w:end="0"/>
              <w:jc w:val="end"/>
              <w:rPr/>
            </w:pPr>
            <w:r>
              <w:drawing>
                <wp:anchor behindDoc="0" distT="0" distB="0" distL="114935" distR="114935" simplePos="0" locked="0" layoutInCell="0" allowOverlap="1" relativeHeight="2">
                  <wp:simplePos x="0" y="0"/>
                  <wp:positionH relativeFrom="margin">
                    <wp:posOffset>-502920</wp:posOffset>
                  </wp:positionH>
                  <wp:positionV relativeFrom="paragraph">
                    <wp:posOffset>-34290</wp:posOffset>
                  </wp:positionV>
                  <wp:extent cx="822960" cy="82296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2960" cy="822960"/>
                          </a:xfrm>
                          <a:prstGeom prst="rect">
                            <a:avLst/>
                          </a:prstGeom>
                          <a:noFill/>
                        </pic:spPr>
                      </pic:pic>
                    </a:graphicData>
                  </a:graphic>
                </wp:anchor>
              </w:drawing>
            </w:r>
            <w:r>
              <w:rPr/>
              <w:tab/>
              <w:tab/>
            </w:r>
            <w:r>
              <w:rPr>
                <w:b/>
                <w:sz w:val="22"/>
              </w:rPr>
              <w:t>Enron North America Corp.</w:t>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646-8898</w:t>
            </w:r>
            <w:r>
              <w:rPr>
                <w:sz w:val="22"/>
              </w:rPr>
              <w:fldChar w:fldCharType="end"/>
            </w:r>
          </w:p>
        </w:tc>
      </w:tr>
    </w:tbl>
    <w:p>
      <w:pPr>
        <w:pStyle w:val="Heading1"/>
        <w:ind w:hanging="0" w:start="0"/>
        <w:rPr>
          <w:b w:val="false"/>
          <w:sz w:val="20"/>
        </w:rPr>
      </w:pPr>
      <w:r>
        <w:rPr>
          <w:b w:val="false"/>
          <w:sz w:val="20"/>
        </w:rPr>
      </w:r>
    </w:p>
    <w:p>
      <w:pPr>
        <w:pStyle w:val="Heading1"/>
        <w:ind w:hanging="0" w:start="0"/>
        <w:rPr>
          <w:sz w:val="20"/>
        </w:rPr>
      </w:pPr>
      <w:r>
        <w:rPr>
          <w:sz w:val="20"/>
        </w:rPr>
        <w:t>CONFIRMATION</w:t>
      </w:r>
    </w:p>
    <w:p>
      <w:pPr>
        <w:pStyle w:val="Normal"/>
        <w:tabs>
          <w:tab w:val="clear" w:pos="720"/>
          <w:tab w:val="left" w:pos="6480" w:leader="none"/>
        </w:tabs>
        <w:jc w:val="center"/>
        <w:rPr>
          <w:b/>
        </w:rPr>
      </w:pPr>
      <w:r>
        <w:rPr>
          <w:b/>
        </w:rPr>
        <w:t>(SWAP)</w:t>
      </w:r>
    </w:p>
    <w:p>
      <w:pPr>
        <w:pStyle w:val="Normal"/>
        <w:tabs>
          <w:tab w:val="clear" w:pos="720"/>
          <w:tab w:val="left" w:pos="6480" w:leader="none"/>
        </w:tabs>
        <w:rPr>
          <w:b/>
        </w:rPr>
      </w:pPr>
      <w:r>
        <w:rPr>
          <w:b/>
        </w:rPr>
      </w:r>
    </w:p>
    <w:p>
      <w:pPr>
        <w:pStyle w:val="Normal"/>
        <w:tabs>
          <w:tab w:val="left" w:pos="720" w:leader="none"/>
          <w:tab w:val="left" w:pos="3240" w:leader="none"/>
        </w:tabs>
        <w:ind w:start="720" w:end="0"/>
        <w:rPr/>
      </w:pPr>
      <w:r>
        <w:rPr/>
        <w:t>Date:</w:t>
        <w:tab/>
        <w:tab/>
        <w:t>September ____, 2000</w:t>
      </w:r>
    </w:p>
    <w:p>
      <w:pPr>
        <w:pStyle w:val="Normal"/>
        <w:ind w:firstLine="720" w:end="0"/>
        <w:rPr/>
      </w:pPr>
      <w:r>
        <w:rPr/>
        <w:t>To:</w:t>
        <w:tab/>
        <w:tab/>
        <w:tab/>
        <w:tab/>
        <w:t>Citibank (“Counterparty”)</w:t>
      </w:r>
    </w:p>
    <w:p>
      <w:pPr>
        <w:pStyle w:val="Normal"/>
        <w:ind w:firstLine="720" w:end="0"/>
        <w:rPr/>
      </w:pPr>
      <w:r>
        <w:rPr/>
        <w:t xml:space="preserve">Attention: </w:t>
        <w:tab/>
        <w:tab/>
        <w:tab/>
        <w:t>_________________</w:t>
      </w:r>
    </w:p>
    <w:p>
      <w:pPr>
        <w:pStyle w:val="Normal"/>
        <w:ind w:firstLine="720" w:end="0"/>
        <w:rPr/>
      </w:pPr>
      <w:r>
        <w:rPr/>
        <w:t>Phone Number:</w:t>
        <w:tab/>
        <w:tab/>
        <w:tab/>
        <w:t>_________________</w:t>
      </w:r>
    </w:p>
    <w:p>
      <w:pPr>
        <w:pStyle w:val="Normal"/>
        <w:ind w:firstLine="720" w:end="0"/>
        <w:rPr/>
      </w:pPr>
      <w:r>
        <w:rPr/>
        <w:t>Fax Number:</w:t>
        <w:tab/>
        <w:tab/>
        <w:tab/>
        <w:t>_________________</w:t>
      </w:r>
    </w:p>
    <w:p>
      <w:pPr>
        <w:pStyle w:val="Normal"/>
        <w:ind w:firstLine="720" w:end="0"/>
        <w:rPr/>
      </w:pPr>
      <w:r>
        <w:rPr/>
        <w:t>From:</w:t>
        <w:tab/>
        <w:tab/>
        <w:tab/>
        <w:tab/>
        <w:t>Enron North America Corp. (“ENA”)</w:t>
      </w:r>
    </w:p>
    <w:p>
      <w:pPr>
        <w:pStyle w:val="Normal"/>
        <w:ind w:firstLine="720" w:end="0"/>
        <w:rPr/>
      </w:pPr>
      <w:r>
        <w:rPr/>
        <w:t>Re:</w:t>
        <w:tab/>
        <w:tab/>
        <w:tab/>
        <w:tab/>
        <w:t>Commodity Swap, ENA Deal No. ________</w:t>
      </w:r>
    </w:p>
    <w:p>
      <w:pPr>
        <w:pStyle w:val="Normal"/>
        <w:rPr/>
      </w:pPr>
      <w:r>
        <w:rPr/>
      </w:r>
    </w:p>
    <w:p>
      <w:pPr>
        <w:pStyle w:val="BodyTextIndent"/>
        <w:ind w:start="0" w:end="0"/>
        <w:rPr/>
      </w:pPr>
      <w:r>
        <w:rPr/>
        <w:t xml:space="preserve">  </w:t>
      </w:r>
      <w:r>
        <w:rPr/>
        <w:t>The purpose of this letter agreement is to confirm the terms and conditions of the Transaction entered into  between us on the Trade Date specified below (“Transaction”).  This letter constitutes a “Confirmation” as referred to in the ISDA Master Agreement specified below.</w:t>
      </w:r>
    </w:p>
    <w:p>
      <w:pPr>
        <w:pStyle w:val="Normal"/>
        <w:ind w:firstLine="720" w:end="0"/>
        <w:jc w:val="both"/>
        <w:rPr/>
      </w:pPr>
      <w:r>
        <w:rPr/>
      </w:r>
    </w:p>
    <w:p>
      <w:pPr>
        <w:pStyle w:val="Normal"/>
        <w:jc w:val="both"/>
        <w:rPr/>
      </w:pPr>
      <w:r>
        <w:rPr/>
        <w:t>1. This Confirmation supplements, forms part of, and is subject to the ISDA Master Agreement dated as of November 17, 1992 as amended and supplemented from time to time (the “Agreement”), between you and us.  All provisions contained in the Agreement govern this Confirmation except as expressly modified below.</w:t>
      </w:r>
    </w:p>
    <w:p>
      <w:pPr>
        <w:pStyle w:val="Normal"/>
        <w:jc w:val="both"/>
        <w:rPr/>
      </w:pPr>
      <w:r>
        <w:rPr/>
      </w:r>
    </w:p>
    <w:p>
      <w:pPr>
        <w:pStyle w:val="Normal"/>
        <w:jc w:val="both"/>
        <w:rPr/>
      </w:pPr>
      <w:r>
        <w:rPr/>
        <w:t>2. The terms of the particular Transaction to which this Confirmation relates are as follows:</w:t>
      </w:r>
    </w:p>
    <w:p>
      <w:pPr>
        <w:pStyle w:val="BodyTextIndent"/>
        <w:ind w:start="0" w:end="0"/>
        <w:rPr/>
      </w:pPr>
      <w:r>
        <w:rPr/>
      </w:r>
    </w:p>
    <w:p>
      <w:pPr>
        <w:pStyle w:val="Normal"/>
        <w:rPr/>
      </w:pPr>
      <w:r>
        <w:rPr>
          <w:b/>
          <w:u w:val="single"/>
        </w:rPr>
        <w:t>General Terms</w:t>
      </w:r>
      <w:r>
        <w:rPr/>
        <w:t>:</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ind w:firstLine="720" w:end="0"/>
              <w:jc w:val="both"/>
              <w:rPr/>
            </w:pPr>
            <w:r>
              <w:rPr/>
              <w:t>Total Notional Quantity:</w:t>
            </w:r>
          </w:p>
        </w:tc>
        <w:tc>
          <w:tcPr>
            <w:tcW w:w="4788" w:type="dxa"/>
            <w:tcBorders/>
          </w:tcPr>
          <w:p>
            <w:pPr>
              <w:pStyle w:val="Normal"/>
              <w:jc w:val="both"/>
              <w:rPr/>
            </w:pPr>
            <w:r>
              <w:rPr/>
              <w:t>692,901 Short Tons</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Notional Quantity</w:t>
            </w:r>
          </w:p>
          <w:p>
            <w:pPr>
              <w:pStyle w:val="Normal"/>
              <w:ind w:firstLine="720" w:end="0"/>
              <w:jc w:val="both"/>
              <w:rPr/>
            </w:pPr>
            <w:r>
              <w:rPr/>
              <w:t>per Calculation Period:</w:t>
            </w:r>
          </w:p>
        </w:tc>
        <w:tc>
          <w:tcPr>
            <w:tcW w:w="4788" w:type="dxa"/>
            <w:tcBorders/>
          </w:tcPr>
          <w:p>
            <w:pPr>
              <w:pStyle w:val="Normal"/>
              <w:snapToGrid w:val="false"/>
              <w:jc w:val="both"/>
              <w:rPr/>
            </w:pPr>
            <w:r>
              <w:rPr/>
            </w:r>
          </w:p>
          <w:p>
            <w:pPr>
              <w:pStyle w:val="Normal"/>
              <w:jc w:val="both"/>
              <w:rPr/>
            </w:pPr>
            <w:r>
              <w:rPr/>
              <w:t>________ Short Tons</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Commodity:</w:t>
            </w:r>
          </w:p>
        </w:tc>
        <w:tc>
          <w:tcPr>
            <w:tcW w:w="4788" w:type="dxa"/>
            <w:tcBorders/>
          </w:tcPr>
          <w:p>
            <w:pPr>
              <w:pStyle w:val="Normal"/>
              <w:jc w:val="both"/>
              <w:rPr/>
            </w:pPr>
            <w:r>
              <w:rPr/>
              <w:t>Old Newspaper #8</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Commodity Unit:</w:t>
            </w:r>
          </w:p>
        </w:tc>
        <w:tc>
          <w:tcPr>
            <w:tcW w:w="4788" w:type="dxa"/>
            <w:tcBorders/>
          </w:tcPr>
          <w:p>
            <w:pPr>
              <w:pStyle w:val="Normal"/>
              <w:jc w:val="both"/>
              <w:rPr/>
            </w:pPr>
            <w:r>
              <w:rPr/>
              <w:t>Short Tons</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Trade Date:</w:t>
            </w:r>
          </w:p>
        </w:tc>
        <w:tc>
          <w:tcPr>
            <w:tcW w:w="4788" w:type="dxa"/>
            <w:tcBorders/>
          </w:tcPr>
          <w:p>
            <w:pPr>
              <w:pStyle w:val="Normal"/>
              <w:jc w:val="both"/>
              <w:rPr/>
            </w:pPr>
            <w:r>
              <w:rPr/>
              <w:t>To Be Determined</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Effective Date:</w:t>
            </w:r>
          </w:p>
        </w:tc>
        <w:tc>
          <w:tcPr>
            <w:tcW w:w="4788" w:type="dxa"/>
            <w:tcBorders/>
          </w:tcPr>
          <w:p>
            <w:pPr>
              <w:pStyle w:val="Normal"/>
              <w:jc w:val="both"/>
              <w:rPr/>
            </w:pPr>
            <w:r>
              <w:rPr/>
              <w:t>September  30, 2000</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Termination Date:</w:t>
            </w:r>
          </w:p>
          <w:p>
            <w:pPr>
              <w:pStyle w:val="Normal"/>
              <w:ind w:firstLine="720" w:end="0"/>
              <w:jc w:val="both"/>
              <w:rPr/>
            </w:pPr>
            <w:r>
              <w:rPr/>
            </w:r>
          </w:p>
          <w:p>
            <w:pPr>
              <w:pStyle w:val="Normal"/>
              <w:ind w:firstLine="720" w:end="0"/>
              <w:jc w:val="both"/>
              <w:rPr/>
            </w:pPr>
            <w:r>
              <w:rPr/>
            </w:r>
          </w:p>
        </w:tc>
        <w:tc>
          <w:tcPr>
            <w:tcW w:w="4788" w:type="dxa"/>
            <w:tcBorders/>
          </w:tcPr>
          <w:p>
            <w:pPr>
              <w:pStyle w:val="Normal"/>
              <w:jc w:val="both"/>
              <w:rPr/>
            </w:pPr>
            <w:r>
              <w:rPr/>
              <w:t>August 31, 2007</w:t>
            </w:r>
          </w:p>
        </w:tc>
      </w:tr>
      <w:tr>
        <w:trPr/>
        <w:tc>
          <w:tcPr>
            <w:tcW w:w="4788" w:type="dxa"/>
            <w:tcBorders/>
          </w:tcPr>
          <w:p>
            <w:pPr>
              <w:pStyle w:val="Normal"/>
              <w:ind w:firstLine="720" w:end="0"/>
              <w:jc w:val="both"/>
              <w:rPr/>
            </w:pPr>
            <w:r>
              <w:rPr/>
              <w:t>Optional Termination:</w:t>
            </w:r>
          </w:p>
        </w:tc>
        <w:tc>
          <w:tcPr>
            <w:tcW w:w="4788" w:type="dxa"/>
            <w:tcBorders/>
          </w:tcPr>
          <w:p>
            <w:pPr>
              <w:pStyle w:val="Normal"/>
              <w:jc w:val="both"/>
              <w:rPr/>
            </w:pPr>
            <w:r>
              <w:rPr/>
              <w:t>Either party may, upon sixty (60) days written notice to the other party, terminate this Transaction by designating to such other party the termination date for this Transaction.  In the event a party exercises its right of optional termination hereunter, the provisions of Section 6(e)(ii)(2)(B) shall apply to this Transaction for purposes of establishing a settlement amount.  The foregoing provision for optional termination of this Transaction shall not be cause for Early Termination under the Agreement, and provides for termination of only this Transaction.</w:t>
            </w:r>
          </w:p>
        </w:tc>
      </w:tr>
      <w:tr>
        <w:trPr/>
        <w:tc>
          <w:tcPr>
            <w:tcW w:w="4788" w:type="dxa"/>
            <w:tcBorders/>
          </w:tcPr>
          <w:p>
            <w:pPr>
              <w:pStyle w:val="Normal"/>
              <w:ind w:firstLine="720" w:end="0"/>
              <w:jc w:val="both"/>
              <w:rPr/>
            </w:pPr>
            <w:r>
              <w:rPr/>
              <w:t>Calculation Period(s):</w:t>
            </w:r>
          </w:p>
        </w:tc>
        <w:tc>
          <w:tcPr>
            <w:tcW w:w="4788" w:type="dxa"/>
            <w:tcBorders/>
          </w:tcPr>
          <w:p>
            <w:pPr>
              <w:pStyle w:val="Normal"/>
              <w:jc w:val="both"/>
              <w:rPr>
                <w:color w:val="000000"/>
              </w:rPr>
            </w:pPr>
            <w:r>
              <w:rPr>
                <w:color w:val="000000"/>
              </w:rPr>
              <w:t>Monthly periods, with the first Calculation Period commencing on the Effective Date and the final Calculation Period ending on the Termination Date.</w:t>
            </w:r>
          </w:p>
        </w:tc>
      </w:tr>
      <w:tr>
        <w:trPr/>
        <w:tc>
          <w:tcPr>
            <w:tcW w:w="4788" w:type="dxa"/>
            <w:tcBorders/>
          </w:tcPr>
          <w:p>
            <w:pPr>
              <w:pStyle w:val="Normal"/>
              <w:snapToGrid w:val="false"/>
              <w:ind w:firstLine="720" w:end="0"/>
              <w:rPr/>
            </w:pPr>
            <w:r>
              <w:rPr/>
            </w:r>
          </w:p>
        </w:tc>
        <w:tc>
          <w:tcPr>
            <w:tcW w:w="4788" w:type="dxa"/>
            <w:tcBorders/>
          </w:tcPr>
          <w:p>
            <w:pPr>
              <w:pStyle w:val="Normal"/>
              <w:snapToGrid w:val="false"/>
              <w:rPr/>
            </w:pPr>
            <w:r>
              <w:rPr/>
            </w:r>
          </w:p>
        </w:tc>
      </w:tr>
      <w:tr>
        <w:trPr/>
        <w:tc>
          <w:tcPr>
            <w:tcW w:w="4788" w:type="dxa"/>
            <w:tcBorders/>
          </w:tcPr>
          <w:p>
            <w:pPr>
              <w:pStyle w:val="Normal"/>
              <w:ind w:firstLine="720" w:end="0"/>
              <w:jc w:val="both"/>
              <w:rPr/>
            </w:pPr>
            <w:r>
              <w:rPr/>
              <w:t>Payment Date(s):</w:t>
            </w:r>
          </w:p>
        </w:tc>
        <w:tc>
          <w:tcPr>
            <w:tcW w:w="4788" w:type="dxa"/>
            <w:tcBorders/>
          </w:tcPr>
          <w:p>
            <w:pPr>
              <w:pStyle w:val="Normal"/>
              <w:jc w:val="both"/>
              <w:rPr/>
            </w:pPr>
            <w:r>
              <w:rPr/>
              <w:t>The fifth (5</w:t>
            </w:r>
            <w:r>
              <w:rPr>
                <w:vertAlign w:val="superscript"/>
              </w:rPr>
              <w:t>th</w:t>
            </w:r>
            <w:r>
              <w:rPr/>
              <w:t>) Business Day of the calendar month immediately following the Pricing Date for each respective Calculation Period.</w:t>
            </w:r>
          </w:p>
          <w:p>
            <w:pPr>
              <w:pStyle w:val="Normal"/>
              <w:jc w:val="both"/>
              <w:rPr/>
            </w:pPr>
            <w:r>
              <w:rPr/>
            </w:r>
          </w:p>
          <w:p>
            <w:pPr>
              <w:pStyle w:val="Normal"/>
              <w:jc w:val="both"/>
              <w:rPr/>
            </w:pPr>
            <w:r>
              <w:rPr/>
            </w:r>
          </w:p>
          <w:p>
            <w:pPr>
              <w:pStyle w:val="Normal"/>
              <w:jc w:val="both"/>
              <w:rPr/>
            </w:pPr>
            <w:r>
              <w:rPr/>
              <w:t xml:space="preserve"> </w:t>
            </w:r>
          </w:p>
        </w:tc>
      </w:tr>
      <w:tr>
        <w:trPr/>
        <w:tc>
          <w:tcPr>
            <w:tcW w:w="4788" w:type="dxa"/>
            <w:tcBorders/>
          </w:tcPr>
          <w:p>
            <w:pPr>
              <w:pStyle w:val="Normal"/>
              <w:ind w:start="-90" w:end="0"/>
              <w:jc w:val="both"/>
              <w:rPr>
                <w:b/>
                <w:u w:val="single"/>
              </w:rPr>
            </w:pPr>
            <w:r>
              <w:rPr>
                <w:b/>
                <w:u w:val="single"/>
              </w:rPr>
              <w:t>Fixed Amount Details:</w:t>
            </w:r>
          </w:p>
        </w:tc>
        <w:tc>
          <w:tcPr>
            <w:tcW w:w="4788" w:type="dxa"/>
            <w:tcBorders/>
          </w:tcPr>
          <w:p>
            <w:pPr>
              <w:pStyle w:val="Normal"/>
              <w:snapToGrid w:val="false"/>
              <w:jc w:val="both"/>
              <w:rPr/>
            </w:pPr>
            <w:r>
              <w:rPr/>
            </w:r>
          </w:p>
        </w:tc>
      </w:tr>
      <w:tr>
        <w:trPr/>
        <w:tc>
          <w:tcPr>
            <w:tcW w:w="4788" w:type="dxa"/>
            <w:tcBorders/>
          </w:tcPr>
          <w:p>
            <w:pPr>
              <w:pStyle w:val="Normal"/>
              <w:snapToGrid w:val="false"/>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Fixed Price Payer:</w:t>
            </w:r>
          </w:p>
        </w:tc>
        <w:tc>
          <w:tcPr>
            <w:tcW w:w="4788" w:type="dxa"/>
            <w:tcBorders/>
          </w:tcPr>
          <w:p>
            <w:pPr>
              <w:pStyle w:val="Normal"/>
              <w:jc w:val="both"/>
              <w:rPr/>
            </w:pPr>
            <w:r>
              <w:rPr/>
              <w:t>Counterparty</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Fixed Price:</w:t>
            </w:r>
          </w:p>
        </w:tc>
        <w:tc>
          <w:tcPr>
            <w:tcW w:w="4788" w:type="dxa"/>
            <w:tcBorders/>
          </w:tcPr>
          <w:p>
            <w:pPr>
              <w:pStyle w:val="Normal"/>
              <w:jc w:val="both"/>
              <w:rPr/>
            </w:pPr>
            <w:r>
              <w:rPr/>
              <w:t>USD _____ per Short Ton</w:t>
            </w:r>
          </w:p>
        </w:tc>
      </w:tr>
      <w:tr>
        <w:trPr/>
        <w:tc>
          <w:tcPr>
            <w:tcW w:w="4788" w:type="dxa"/>
            <w:tcBorders/>
          </w:tcPr>
          <w:p>
            <w:pPr>
              <w:pStyle w:val="Normal"/>
              <w:snapToGrid w:val="false"/>
              <w:jc w:val="both"/>
              <w:rPr/>
            </w:pPr>
            <w:r>
              <w:rPr/>
            </w:r>
          </w:p>
          <w:p>
            <w:pPr>
              <w:pStyle w:val="Normal"/>
              <w:jc w:val="both"/>
              <w:rPr/>
            </w:pPr>
            <w:r>
              <w:rPr/>
            </w:r>
          </w:p>
          <w:p>
            <w:pPr>
              <w:pStyle w:val="Normal"/>
              <w:jc w:val="both"/>
              <w:rPr/>
            </w:pPr>
            <w:r>
              <w:rPr/>
            </w:r>
          </w:p>
        </w:tc>
        <w:tc>
          <w:tcPr>
            <w:tcW w:w="4788" w:type="dxa"/>
            <w:tcBorders/>
          </w:tcPr>
          <w:p>
            <w:pPr>
              <w:pStyle w:val="Normal"/>
              <w:snapToGrid w:val="false"/>
              <w:jc w:val="both"/>
              <w:rPr/>
            </w:pPr>
            <w:r>
              <w:rPr/>
            </w:r>
          </w:p>
        </w:tc>
      </w:tr>
      <w:tr>
        <w:trPr/>
        <w:tc>
          <w:tcPr>
            <w:tcW w:w="4788" w:type="dxa"/>
            <w:tcBorders/>
          </w:tcPr>
          <w:p>
            <w:pPr>
              <w:pStyle w:val="Normal"/>
              <w:tabs>
                <w:tab w:val="clear" w:pos="720"/>
                <w:tab w:val="left" w:pos="-90" w:leader="none"/>
              </w:tabs>
              <w:ind w:start="-90" w:end="0"/>
              <w:jc w:val="both"/>
              <w:rPr>
                <w:b/>
                <w:u w:val="single"/>
              </w:rPr>
            </w:pPr>
            <w:r>
              <w:rPr>
                <w:b/>
                <w:u w:val="single"/>
              </w:rPr>
              <w:t>Floating Amount Details:</w:t>
            </w:r>
          </w:p>
        </w:tc>
        <w:tc>
          <w:tcPr>
            <w:tcW w:w="4788" w:type="dxa"/>
            <w:tcBorders/>
          </w:tcPr>
          <w:p>
            <w:pPr>
              <w:pStyle w:val="Normal"/>
              <w:snapToGrid w:val="false"/>
              <w:jc w:val="both"/>
              <w:rPr/>
            </w:pPr>
            <w:r>
              <w:rPr/>
            </w:r>
          </w:p>
        </w:tc>
      </w:tr>
      <w:tr>
        <w:trPr/>
        <w:tc>
          <w:tcPr>
            <w:tcW w:w="4788" w:type="dxa"/>
            <w:tcBorders/>
          </w:tcPr>
          <w:p>
            <w:pPr>
              <w:pStyle w:val="Normal"/>
              <w:snapToGrid w:val="false"/>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Floating Price Payer:</w:t>
            </w:r>
          </w:p>
        </w:tc>
        <w:tc>
          <w:tcPr>
            <w:tcW w:w="4788" w:type="dxa"/>
            <w:tcBorders/>
          </w:tcPr>
          <w:p>
            <w:pPr>
              <w:pStyle w:val="Normal"/>
              <w:jc w:val="both"/>
              <w:rPr/>
            </w:pPr>
            <w:r>
              <w:rPr/>
              <w:t>ENA</w:t>
            </w:r>
          </w:p>
        </w:tc>
      </w:tr>
      <w:tr>
        <w:trPr>
          <w:trHeight w:val="207" w:hRule="atLeast"/>
        </w:trPr>
        <w:tc>
          <w:tcPr>
            <w:tcW w:w="4788" w:type="dxa"/>
            <w:tcBorders/>
          </w:tcPr>
          <w:p>
            <w:pPr>
              <w:pStyle w:val="Normal"/>
              <w:snapToGrid w:val="false"/>
              <w:rPr/>
            </w:pPr>
            <w:r>
              <w:rPr/>
            </w:r>
          </w:p>
        </w:tc>
        <w:tc>
          <w:tcPr>
            <w:tcW w:w="4788" w:type="dxa"/>
            <w:tcBorders/>
          </w:tcPr>
          <w:p>
            <w:pPr>
              <w:pStyle w:val="Normal"/>
              <w:snapToGrid w:val="false"/>
              <w:rPr/>
            </w:pPr>
            <w:r>
              <w:rPr/>
            </w:r>
          </w:p>
        </w:tc>
      </w:tr>
      <w:tr>
        <w:trPr/>
        <w:tc>
          <w:tcPr>
            <w:tcW w:w="4788" w:type="dxa"/>
            <w:tcBorders/>
          </w:tcPr>
          <w:p>
            <w:pPr>
              <w:pStyle w:val="Normal"/>
              <w:ind w:firstLine="720" w:end="0"/>
              <w:jc w:val="both"/>
              <w:rPr/>
            </w:pPr>
            <w:r>
              <w:rPr/>
              <w:t>Floating Price:</w:t>
            </w:r>
          </w:p>
        </w:tc>
        <w:tc>
          <w:tcPr>
            <w:tcW w:w="4788" w:type="dxa"/>
            <w:tcBorders/>
          </w:tcPr>
          <w:p>
            <w:pPr>
              <w:pStyle w:val="Normal"/>
              <w:jc w:val="both"/>
              <w:rPr/>
            </w:pPr>
            <w:r>
              <w:rPr>
                <w:color w:val="000000"/>
                <w:lang w:eastAsia="en-US"/>
              </w:rPr>
              <w:t xml:space="preserve">The Floating Price for each Calculation Period shall be the high price per Short Ton of Old Newspaper #8, stated in U.S. Dollars, published under the headings “Transacted paper stock prices: News (8)” opposite the caption “Southeast” in the second issue of each month of the </w:t>
            </w:r>
            <w:r>
              <w:rPr>
                <w:color w:val="000000"/>
                <w:u w:val="single"/>
                <w:lang w:eastAsia="en-US"/>
              </w:rPr>
              <w:t>Official Board Markets</w:t>
            </w:r>
            <w:r>
              <w:rPr>
                <w:color w:val="000000"/>
                <w:lang w:eastAsia="en-US"/>
              </w:rPr>
              <w:t xml:space="preserve"> that reports prices effective on the Pricing Date for such Calculation Period.</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Pricing Date(s):</w:t>
            </w:r>
          </w:p>
        </w:tc>
        <w:tc>
          <w:tcPr>
            <w:tcW w:w="4788" w:type="dxa"/>
            <w:tcBorders/>
          </w:tcPr>
          <w:p>
            <w:pPr>
              <w:pStyle w:val="Normal"/>
              <w:jc w:val="both"/>
              <w:rPr/>
            </w:pPr>
            <w:r>
              <w:rPr/>
              <w:t xml:space="preserve">Date of publication of </w:t>
            </w:r>
            <w:r>
              <w:rPr>
                <w:u w:val="single"/>
              </w:rPr>
              <w:t>Official Board Markets</w:t>
            </w:r>
            <w:r>
              <w:rPr/>
              <w:t>, or any successor publication, published by Official Board Markets or its successor (such publication, “</w:t>
            </w:r>
            <w:r>
              <w:rPr>
                <w:u w:val="single"/>
              </w:rPr>
              <w:t>Official Board Markets</w:t>
            </w:r>
            <w:r>
              <w:rPr/>
              <w:t>”) for the applicable Calculation Period</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Fallback Reference Price:</w:t>
            </w:r>
          </w:p>
        </w:tc>
        <w:tc>
          <w:tcPr>
            <w:tcW w:w="4788" w:type="dxa"/>
            <w:tcBorders/>
          </w:tcPr>
          <w:p>
            <w:pPr>
              <w:pStyle w:val="Normal"/>
              <w:jc w:val="both"/>
              <w:rPr/>
            </w:pPr>
            <w:r>
              <w:rPr/>
              <w:t xml:space="preserve">The Fallback Reference Price for any Calculation Period shall be an amount equal to the sum of (a) the price per Short Ton of Old Newspaper #8, stated in U.S. Dollars, published under the heading: “Table 2: Recovered Paper Monthly Price Summary: U.S. Recovered Paper: Dollars per Short Ton: Newspapers: ONP (8)” in the issue of </w:t>
            </w:r>
            <w:r>
              <w:rPr>
                <w:u w:val="single"/>
              </w:rPr>
              <w:t>World Recoverd Paper Monitor</w:t>
            </w:r>
            <w:r>
              <w:rPr/>
              <w:t xml:space="preserve"> (or its successor publication, as published by Resource Information Systems, Inc., or its successor) that reports prices effective for such Calculation Period and (b) an amount (which may be negative) equal to the difference between (i) the average of the prices per Short Ton of Old Newspaper #8 as determined in accordance with the definition of ‘Floating Price’ above for each month in which such price is available for the twelve calendar months immediately preceding the relevant Calculation Period and (ii) the average of the prices per Short Ton of Old Newspaper #8 as determined in accordance with subsection (a) above for each month in which such price is available for the twelve calendar months immediately preceding the relevant Calculation Period.</w:t>
            </w:r>
          </w:p>
        </w:tc>
      </w:tr>
    </w:tbl>
    <w:p>
      <w:pPr>
        <w:pStyle w:val="BodyTextIndent"/>
        <w:tabs>
          <w:tab w:val="left" w:pos="90" w:leader="none"/>
          <w:tab w:val="left" w:pos="810" w:leader="none"/>
          <w:tab w:val="left" w:pos="2160" w:leader="none"/>
          <w:tab w:val="left" w:pos="4320" w:leader="none"/>
          <w:tab w:val="left" w:pos="6480" w:leader="none"/>
        </w:tabs>
        <w:ind w:start="0" w:end="0"/>
        <w:rPr/>
      </w:pPr>
      <w:r>
        <w:rPr/>
      </w:r>
    </w:p>
    <w:p>
      <w:pPr>
        <w:pStyle w:val="BodyTextIndent"/>
        <w:tabs>
          <w:tab w:val="left" w:pos="90" w:leader="none"/>
          <w:tab w:val="left" w:pos="810" w:leader="none"/>
          <w:tab w:val="left" w:pos="2160" w:leader="none"/>
          <w:tab w:val="left" w:pos="4320" w:leader="none"/>
          <w:tab w:val="left" w:pos="6480" w:leader="none"/>
        </w:tabs>
        <w:rPr/>
      </w:pPr>
      <w:r>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BodyTextIndent"/>
        <w:tabs>
          <w:tab w:val="left" w:pos="90" w:leader="none"/>
          <w:tab w:val="left" w:pos="810" w:leader="none"/>
          <w:tab w:val="left" w:pos="2160" w:leader="none"/>
          <w:tab w:val="left" w:pos="4320" w:leader="none"/>
          <w:tab w:val="left" w:pos="6480" w:leader="none"/>
        </w:tabs>
        <w:rPr/>
      </w:pPr>
      <w:r>
        <w:rPr/>
      </w:r>
    </w:p>
    <w:p>
      <w:pPr>
        <w:pStyle w:val="BodyTextIndent"/>
        <w:tabs>
          <w:tab w:val="left" w:pos="90" w:leader="none"/>
          <w:tab w:val="left" w:pos="810" w:leader="none"/>
          <w:tab w:val="left" w:pos="2160" w:leader="none"/>
          <w:tab w:val="left" w:pos="4320" w:leader="none"/>
          <w:tab w:val="left" w:pos="6480" w:leader="none"/>
        </w:tabs>
        <w:rPr/>
      </w:pPr>
      <w:r>
        <w:rPr/>
        <w:t>Enron North America Corp. is please to have entered into this Transaction with you.</w:t>
      </w:r>
    </w:p>
    <w:p>
      <w:pPr>
        <w:pStyle w:val="BodyTextIndent"/>
        <w:tabs>
          <w:tab w:val="left" w:pos="90" w:leader="none"/>
          <w:tab w:val="left" w:pos="810" w:leader="none"/>
          <w:tab w:val="left" w:pos="2160" w:leader="none"/>
          <w:tab w:val="left" w:pos="4320" w:leader="none"/>
          <w:tab w:val="left" w:pos="6480" w:leader="none"/>
        </w:tabs>
        <w:rPr/>
      </w:pPr>
      <w:r>
        <w:rPr/>
      </w:r>
    </w:p>
    <w:p>
      <w:pPr>
        <w:pStyle w:val="BodyTextIndent"/>
        <w:tabs>
          <w:tab w:val="left" w:pos="90" w:leader="none"/>
          <w:tab w:val="left" w:pos="810" w:leader="none"/>
          <w:tab w:val="left" w:pos="2160" w:leader="none"/>
          <w:tab w:val="left" w:pos="4320" w:leader="none"/>
          <w:tab w:val="left" w:pos="6480" w:leader="none"/>
        </w:tabs>
        <w:rPr/>
      </w:pPr>
      <w:r>
        <w:rPr/>
        <w:t>Sincerely,</w:t>
      </w:r>
    </w:p>
    <w:p>
      <w:pPr>
        <w:pStyle w:val="BodyTextIndent"/>
        <w:tabs>
          <w:tab w:val="left" w:pos="90" w:leader="none"/>
          <w:tab w:val="left" w:pos="810" w:leader="none"/>
          <w:tab w:val="left" w:pos="2160" w:leader="none"/>
          <w:tab w:val="left" w:pos="4320" w:leader="none"/>
          <w:tab w:val="left" w:pos="6480" w:leader="none"/>
        </w:tabs>
        <w:rPr/>
      </w:pPr>
      <w:r>
        <w:rPr/>
      </w:r>
    </w:p>
    <w:p>
      <w:pPr>
        <w:pStyle w:val="BodyTextIndent"/>
        <w:tabs>
          <w:tab w:val="left" w:pos="90" w:leader="none"/>
          <w:tab w:val="left" w:pos="810" w:leader="none"/>
          <w:tab w:val="left" w:pos="2160" w:leader="none"/>
          <w:tab w:val="left" w:pos="4140" w:leader="none"/>
          <w:tab w:val="left" w:pos="6480" w:leader="none"/>
        </w:tabs>
        <w:rPr/>
      </w:pPr>
      <w:r>
        <w:rPr/>
        <w:t>Enron North America Corp.</w:t>
        <w:tab/>
        <w:tab/>
        <w:t>Citibank</w:t>
      </w:r>
    </w:p>
    <w:p>
      <w:pPr>
        <w:pStyle w:val="BodyTextIndent"/>
        <w:tabs>
          <w:tab w:val="left" w:pos="90" w:leader="none"/>
          <w:tab w:val="left" w:pos="810" w:leader="none"/>
          <w:tab w:val="left" w:pos="2160" w:leader="none"/>
          <w:tab w:val="left" w:pos="4140" w:leader="none"/>
          <w:tab w:val="left" w:pos="6480" w:leader="none"/>
        </w:tabs>
        <w:rPr/>
      </w:pPr>
      <w:r>
        <w:rPr/>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By: _________________________</w:t>
        <w:tab/>
        <w:tab/>
        <w:t>By:  ________________________</w:t>
        <w:tab/>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Name: _______________________</w:t>
        <w:tab/>
        <w:t>Name: 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Title: ________________________</w:t>
        <w:tab/>
        <w:t>Title: 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Date: ________________________</w:t>
        <w:tab/>
        <w:t>Date:  _______________________</w:t>
      </w:r>
    </w:p>
    <w:sectPr>
      <w:headerReference w:type="default" r:id="rId3"/>
      <w:footerReference w:type="default" r:id="rId4"/>
      <w:type w:val="nextPage"/>
      <w:pgSz w:w="12240" w:h="15840"/>
      <w:pgMar w:left="1800" w:right="1260" w:gutter="0" w:header="720" w:top="1062" w:footer="390" w:bottom="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p>
    <w:pPr>
      <w:pStyle w:val="Footer"/>
      <w:rPr>
        <w:rStyle w:val="PageNumber"/>
        <w:sz w:val="18"/>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18"/>
      </w:rPr>
    </w:pPr>
    <w:r>
      <w:rPr>
        <w:sz w:val="18"/>
      </w:rPr>
    </w:r>
  </w:p>
  <w:p>
    <w:pPr>
      <w:pStyle w:val="Header"/>
      <w:jc w:val="center"/>
      <w:rPr/>
    </w:pPr>
    <w:r>
      <w:rPr/>
      <w:t>DRAFT – FOR DISCUSSION PURPOSES ONLY                                                    Deal No. 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paragraph" w:styleId="Heading2">
    <w:name w:val="heading 2"/>
    <w:basedOn w:val="Normal"/>
    <w:next w:val="Normal"/>
    <w:qFormat/>
    <w:pPr>
      <w:keepNext w:val="true"/>
      <w:numPr>
        <w:ilvl w:val="1"/>
        <w:numId w:val="1"/>
      </w:numPr>
      <w:jc w:val="center"/>
      <w:outlineLvl w:val="1"/>
    </w:pPr>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2000-09-26T15:05:00Z</dcterms:created>
  <dc:creator>Diane Anderson</dc:creator>
  <dc:description/>
  <dc:language>en-CA</dc:language>
  <cp:lastModifiedBy>rmalcol</cp:lastModifiedBy>
  <cp:lastPrinted>2000-09-26T12:10:00Z</cp:lastPrinted>
  <dcterms:modified xsi:type="dcterms:W3CDTF">2000-09-26T15:05:00Z</dcterms:modified>
  <cp:revision>2</cp:revision>
  <dc:subject/>
  <dc:title/>
</cp:coreProperties>
</file>