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 w:val="left" w:pos="-720" w:leader="none"/>
        </w:tabs>
        <w:suppressAutoHyphens w:val="true"/>
        <w:rPr>
          <w:b/>
          <w:bCs/>
        </w:rPr>
      </w:pPr>
      <w:r>
        <w:rPr>
          <w:b/>
          <w:bCs/>
        </w:rPr>
        <w:t>Paragraph 13.  Elections and Variables</w:t>
      </w:r>
    </w:p>
    <w:p>
      <w:pPr>
        <w:pStyle w:val="Normal"/>
        <w:widowControl/>
        <w:tabs>
          <w:tab w:val="clear" w:pos="720"/>
          <w:tab w:val="left" w:pos="-1440" w:leader="none"/>
          <w:tab w:val="left" w:pos="-720" w:leader="none"/>
        </w:tabs>
        <w:suppressAutoHyphens w:val="true"/>
        <w:rPr/>
      </w:pPr>
      <w:r>
        <w:rPr/>
      </w:r>
    </w:p>
    <w:p>
      <w:pPr>
        <w:pStyle w:val="Normal"/>
        <w:widowControl/>
        <w:rPr/>
      </w:pPr>
      <w:r>
        <w:rPr>
          <w:b/>
          <w:bCs/>
        </w:rPr>
        <w:t>Agreement as to Single Secured Party and Pledgor.</w:t>
      </w:r>
      <w:r>
        <w:rPr/>
        <w:t xml:space="preserve">  Party A and Party B agree that, notwithstanding anything to the contrary in the recital to this Annex, Paragraph 1(b) or Paragraph 2 or the definitions in Paragraph 12, (a) the term "Secured Party" as used in this Annex means only Party A, (b) the term "Pledgor" as used in this Annex means only Party B, (c) only Party B makes the pledge and grant in Paragraph 2, the acknowledgement in the final sentence of Paragraph 8(a) and the representations in Paragraph 9, (d) only Party B will be required to make Transfers of Eligible Credit Support hereunder and (e) Paragraph 5 will not apply.</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w:t>
      </w:r>
      <w:r>
        <w:rPr>
          <w:b/>
          <w:bCs/>
          <w:i/>
          <w:iCs/>
        </w:rPr>
        <w:tab/>
        <w:t xml:space="preserve">Security Interest for </w:t>
      </w:r>
      <w:r>
        <w:rPr/>
        <w:t>"</w:t>
      </w:r>
      <w:r>
        <w:rPr>
          <w:b/>
          <w:bCs/>
          <w:i/>
          <w:iCs/>
        </w:rPr>
        <w:t>Obligations</w:t>
      </w:r>
      <w:r>
        <w:rPr/>
        <w:t>"</w:t>
      </w:r>
      <w:r>
        <w:rPr>
          <w:b/>
          <w:bCs/>
          <w:i/>
          <w:iCs/>
        </w:rPr>
        <w:t>.</w:t>
      </w:r>
      <w:r>
        <w:rPr/>
        <w:t xml:space="preserve">  In lieu of the definition provided in Paragraph 12, the term "</w:t>
      </w:r>
      <w:r>
        <w:rPr>
          <w:b/>
          <w:bCs/>
          <w:i/>
          <w:iCs/>
        </w:rPr>
        <w:t>Obligations</w:t>
      </w:r>
      <w:r>
        <w:rPr/>
        <w:t>" as used in this Annex means, with respect to Party B, all present and future obligations of Party B under the Confirmation dated as of August 25, 2000, and with respect to Party A, is not applicable.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(b)</w:t>
      </w:r>
      <w:r>
        <w:rPr>
          <w:b/>
          <w:bCs/>
          <w:i/>
          <w:iCs/>
        </w:rPr>
        <w:tab/>
        <w:t>Credit Support Obligations.</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  </w:t>
      </w:r>
      <w:r>
        <w:rPr>
          <w:b/>
          <w:bCs/>
          <w:i/>
          <w:iCs/>
        </w:rPr>
        <w:t>Delivery Amount, Return Amount and Credit Support Amount.</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s>
        <w:suppressAutoHyphens w:val="true"/>
        <w:ind w:hanging="1440" w:start="1440" w:end="0"/>
        <w:rPr/>
      </w:pPr>
      <w:r>
        <w:rPr/>
        <w:tab/>
        <w:tab/>
        <w:t>(A)</w:t>
        <w:tab/>
        <w:t>"</w:t>
      </w:r>
      <w:r>
        <w:rPr>
          <w:b/>
          <w:bCs/>
          <w:i/>
          <w:iCs/>
        </w:rPr>
        <w:t>Delivery Amount</w:t>
      </w:r>
      <w:r>
        <w:rPr/>
        <w:t>" has the meaning specified in Paragraph 3(a).</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s>
        <w:suppressAutoHyphens w:val="true"/>
        <w:ind w:hanging="1440" w:start="1440" w:end="0"/>
        <w:rPr/>
      </w:pPr>
      <w:r>
        <w:rPr/>
        <w:tab/>
        <w:tab/>
        <w:t xml:space="preserve">(B)  </w:t>
        <w:tab/>
        <w:t>"</w:t>
      </w:r>
      <w:r>
        <w:rPr>
          <w:b/>
          <w:bCs/>
          <w:i/>
          <w:iCs/>
        </w:rPr>
        <w:t>Return Amount</w:t>
      </w:r>
      <w:r>
        <w:rPr/>
        <w:t>" has the meaning specified in Paragraph 3(b).</w:t>
      </w:r>
    </w:p>
    <w:p>
      <w:pPr>
        <w:pStyle w:val="Normal"/>
        <w:widowControl/>
        <w:tabs>
          <w:tab w:val="clear" w:pos="720"/>
          <w:tab w:val="left" w:pos="-1440" w:leader="none"/>
          <w:tab w:val="left" w:pos="-720" w:leader="none"/>
        </w:tabs>
        <w:suppressAutoHyphens w:val="true"/>
        <w:rPr/>
      </w:pPr>
      <w:r>
        <w:rPr/>
      </w:r>
    </w:p>
    <w:p>
      <w:pPr>
        <w:pStyle w:val="Normal"/>
        <w:widowControl/>
        <w:ind w:hanging="720" w:start="2160" w:end="0"/>
        <w:rPr/>
      </w:pPr>
      <w:r>
        <w:rPr/>
        <w:t xml:space="preserve">(C)  </w:t>
        <w:tab/>
      </w:r>
      <w:r>
        <w:rPr>
          <w:b/>
          <w:bCs/>
          <w:i/>
          <w:iCs/>
        </w:rPr>
        <w:t>Credit Support Amount</w:t>
      </w:r>
      <w:r>
        <w:rPr/>
        <w:t xml:space="preserve">" has the meaning specified in Paragraph 3; </w:t>
      </w:r>
      <w:r>
        <w:rPr>
          <w:i/>
          <w:iCs/>
        </w:rPr>
        <w:t>provided</w:t>
      </w:r>
      <w:r>
        <w:rPr/>
        <w:t xml:space="preserve"> that in calculating the "Credit Support Amount" for any Valuation Date with respect to Party A as the Secured Party, the Secured Party's Exposure shall be deemed to be equal to the Net Termination Amount as of that Valuation Date (determined as if Party B were the Defaulting Party and that Valuation Date were the Windup Date).</w:t>
      </w:r>
    </w:p>
    <w:p>
      <w:pPr>
        <w:pStyle w:val="Normal"/>
        <w:widowControl/>
        <w:tabs>
          <w:tab w:val="clear" w:pos="720"/>
          <w:tab w:val="left" w:pos="-1440" w:leader="none"/>
          <w:tab w:val="left" w:pos="-720" w:leader="none"/>
          <w:tab w:val="left" w:pos="0" w:leader="none"/>
        </w:tabs>
        <w:suppressAutoHyphens w:val="true"/>
        <w:ind w:hanging="720" w:start="720" w:end="0"/>
        <w:rPr/>
      </w:pPr>
      <w:r>
        <w:rPr/>
        <w:tab/>
      </w:r>
    </w:p>
    <w:p>
      <w:pPr>
        <w:pStyle w:val="Normal"/>
        <w:widowControl/>
        <w:numPr>
          <w:ilvl w:val="0"/>
          <w:numId w:val="2"/>
        </w:numPr>
        <w:tabs>
          <w:tab w:val="clear" w:pos="720"/>
          <w:tab w:val="left" w:pos="0" w:leader="none"/>
        </w:tabs>
        <w:suppressAutoHyphens w:val="true"/>
        <w:ind w:hanging="1440" w:start="2880" w:end="0"/>
        <w:rPr/>
      </w:pPr>
      <w:r>
        <w:rPr/>
        <w:t>"</w:t>
      </w:r>
      <w:r>
        <w:rPr>
          <w:b/>
          <w:bCs/>
          <w:i/>
          <w:iCs/>
        </w:rPr>
        <w:t>Eligible Collateral</w:t>
      </w:r>
      <w:r>
        <w:rPr/>
        <w:t>"</w:t>
      </w:r>
    </w:p>
    <w:p>
      <w:pPr>
        <w:pStyle w:val="Normal"/>
        <w:widowControl/>
        <w:tabs>
          <w:tab w:val="clear" w:pos="720"/>
          <w:tab w:val="left" w:pos="-1440" w:leader="none"/>
          <w:tab w:val="left" w:pos="-720" w:leader="none"/>
          <w:tab w:val="left" w:pos="0" w:leader="none"/>
        </w:tabs>
        <w:suppressAutoHyphens w:val="true"/>
        <w:rPr/>
      </w:pPr>
      <w:r>
        <w:rPr/>
      </w:r>
    </w:p>
    <w:p>
      <w:pPr>
        <w:pStyle w:val="Normal"/>
        <w:keepNext w:val="true"/>
        <w:widowControl/>
        <w:tabs>
          <w:tab w:val="left" w:pos="-720" w:leader="none"/>
          <w:tab w:val="left" w:pos="0" w:leader="none"/>
          <w:tab w:val="left" w:pos="720" w:leader="none"/>
        </w:tabs>
        <w:suppressAutoHyphens w:val="true"/>
        <w:ind w:hanging="1440" w:start="1440" w:end="0"/>
        <w:jc w:val="both"/>
        <w:rPr/>
      </w:pPr>
      <w:r>
        <w:rPr/>
        <w:tab/>
        <w:t>The following items will qualify as "</w:t>
      </w:r>
      <w:r>
        <w:rPr>
          <w:b/>
          <w:bCs/>
          <w:i/>
          <w:iCs/>
        </w:rPr>
        <w:t>Eligible Collateral</w:t>
      </w:r>
      <w:r>
        <w:rPr/>
        <w:t>" for the party specified:</w:t>
      </w:r>
    </w:p>
    <w:p>
      <w:pPr>
        <w:pStyle w:val="Normal"/>
        <w:keepNext w:val="true"/>
        <w:widowControl/>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6" w:space="0" w:color="000000"/>
              <w:start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4896" w:type="dxa"/>
            <w:tcBorders>
              <w:top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op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op w:val="single" w:sz="6" w:space="0" w:color="000000"/>
            </w:tcBorders>
          </w:tcPr>
          <w:p>
            <w:pPr>
              <w:pStyle w:val="Normal"/>
              <w:keepNext w:val="true"/>
              <w:widowControl/>
              <w:tabs>
                <w:tab w:val="clear" w:pos="720"/>
                <w:tab w:val="left" w:pos="-720" w:leader="none"/>
              </w:tabs>
              <w:suppressAutoHyphens w:val="true"/>
              <w:jc w:val="both"/>
              <w:rPr>
                <w:b/>
                <w:bCs/>
              </w:rPr>
            </w:pPr>
            <w:r>
              <w:rPr>
                <w:b/>
                <w:bCs/>
              </w:rPr>
              <w:t>Party B</w:t>
            </w:r>
          </w:p>
        </w:tc>
        <w:tc>
          <w:tcPr>
            <w:tcW w:w="1206" w:type="dxa"/>
            <w:tcBorders>
              <w:top w:val="single" w:sz="6" w:space="0" w:color="000000"/>
              <w:end w:val="single" w:sz="6" w:space="0" w:color="000000"/>
            </w:tcBorders>
          </w:tcPr>
          <w:p>
            <w:pPr>
              <w:pStyle w:val="Normal"/>
              <w:keepNext w:val="true"/>
              <w:widowControl/>
              <w:tabs>
                <w:tab w:val="clear" w:pos="720"/>
                <w:tab w:val="left" w:pos="-720" w:leader="none"/>
              </w:tabs>
              <w:suppressAutoHyphens w:val="true"/>
              <w:jc w:val="both"/>
              <w:rPr>
                <w:b/>
                <w:bCs/>
              </w:rPr>
            </w:pPr>
            <w:r>
              <w:rPr>
                <w:b/>
                <w:bCs/>
              </w:rPr>
              <w:t>Valuation</w:t>
            </w:r>
          </w:p>
          <w:p>
            <w:pPr>
              <w:pStyle w:val="Normal"/>
              <w:keepNext w:val="true"/>
              <w:widowControl/>
              <w:tabs>
                <w:tab w:val="clear" w:pos="720"/>
                <w:tab w:val="left" w:pos="-720" w:leader="none"/>
              </w:tabs>
              <w:suppressAutoHyphens w:val="true"/>
              <w:jc w:val="both"/>
              <w:rPr>
                <w:b/>
                <w:bCs/>
              </w:rPr>
            </w:pPr>
            <w:r>
              <w:rPr>
                <w:b/>
                <w:bCs/>
              </w:rPr>
              <w:t>Percentage</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(A)</w:t>
            </w:r>
          </w:p>
        </w:tc>
        <w:tc>
          <w:tcPr>
            <w:tcW w:w="4896" w:type="dxa"/>
            <w:tcBorders/>
          </w:tcPr>
          <w:p>
            <w:pPr>
              <w:pStyle w:val="Normal"/>
              <w:keepNext w:val="true"/>
              <w:widowControl/>
              <w:tabs>
                <w:tab w:val="clear" w:pos="720"/>
                <w:tab w:val="left" w:pos="-720" w:leader="none"/>
              </w:tabs>
              <w:suppressAutoHyphens w:val="true"/>
              <w:jc w:val="both"/>
              <w:rPr/>
            </w:pPr>
            <w:r>
              <w:rPr/>
              <w:t>Cash</w:t>
              <w:tab/>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100%</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(B)</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less than one year</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100%</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(C)</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at least one year but less than 5 years</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98%</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(D)</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at least 5 years but not exceeding 10 years</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97%</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(E)</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more than 10 years</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95%</w:t>
            </w:r>
          </w:p>
        </w:tc>
      </w:tr>
      <w:tr>
        <w:trPr/>
        <w:tc>
          <w:tcPr>
            <w:tcW w:w="720" w:type="dxa"/>
            <w:tcBorders>
              <w:start w:val="single" w:sz="6" w:space="0" w:color="000000"/>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4896" w:type="dxa"/>
            <w:tcBorders>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1206" w:type="dxa"/>
            <w:tcBorders>
              <w:bottom w:val="single" w:sz="6" w:space="0" w:color="000000"/>
              <w:end w:val="single" w:sz="6" w:space="0" w:color="000000"/>
            </w:tcBorders>
          </w:tcPr>
          <w:p>
            <w:pPr>
              <w:pStyle w:val="Normal"/>
              <w:keepNext w:val="true"/>
              <w:widowControl/>
              <w:tabs>
                <w:tab w:val="clear" w:pos="720"/>
                <w:tab w:val="left" w:pos="-720" w:leader="none"/>
              </w:tabs>
              <w:suppressAutoHyphens w:val="true"/>
              <w:snapToGrid w:val="false"/>
              <w:jc w:val="both"/>
              <w:rPr/>
            </w:pPr>
            <w:r>
              <w:rPr/>
            </w:r>
          </w:p>
        </w:tc>
      </w:tr>
    </w:tbl>
    <w:p>
      <w:pPr>
        <w:pStyle w:val="Normal"/>
        <w:widowControl/>
        <w:tabs>
          <w:tab w:val="left" w:pos="-720" w:leader="none"/>
          <w:tab w:val="left" w:pos="0" w:leader="none"/>
          <w:tab w:val="left" w:pos="720" w:leader="none"/>
        </w:tabs>
        <w:suppressAutoHyphens w:val="true"/>
        <w:ind w:hanging="1440" w:start="1440" w:end="0"/>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"Mortgage-Backed Securities" means FHLMC Certificates, FNMA Certificates or GNMA Certificates, but excluding zero-coupon securities.</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"FHLMC Certificates" means single-class mortgage participation certificates in book-entry form backed by single-family residential mortgage loans, the full and timely payment of interest at the applicable certificate rate and the ultimate collection of principal of which are guaranteed by the Federal Home Loan Mortgage Corporation (excluding Real Estate Mortgage Investment Conduit ("REMIC") or other multi-class pass-through certificates, pass-through certificates backed by adjustable rate mortgages and securities paying interest or principal only).</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"FNMA Certificates" means single-class mortgage pass-through certificates in book-entry form backed by single-family residential mortgage loans, the full and timely payment of interest at the applicable certificate rate and the ultimate collection of principal of which are guaranteed by the Federal National Mortgage Association (excluding REMIC or other multi-class pass-through certificates, pass through certificates backed by adjustable rate mortgages and securities paying interest or principal only).</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"GNMA Certificates" means single-class fully modified pass-through certificates in book-entry form backed by single-family residential mortgage loans, the full and timely payment of principal and interest of which is guaranteed by the Government National Mortgage Association (excluding REMIC or other multi-class pass-through certificates, pass-through certificates backed by adjustable rate mortgages and securities paying interest or principal only).</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1440" w:start="1440" w:end="0"/>
        <w:jc w:val="both"/>
        <w:rPr/>
      </w:pPr>
      <w:r>
        <w:rPr/>
        <w:tab/>
        <w:t>Certificated securities shall not constitute "Eligible Collateral".</w:t>
      </w:r>
    </w:p>
    <w:p>
      <w:pPr>
        <w:pStyle w:val="Normal"/>
        <w:widowControl/>
        <w:tabs>
          <w:tab w:val="left" w:pos="-720" w:leader="none"/>
          <w:tab w:val="left" w:pos="0" w:leader="none"/>
          <w:tab w:val="left" w:pos="720" w:leader="none"/>
        </w:tabs>
        <w:suppressAutoHyphens w:val="true"/>
        <w:ind w:hanging="1440" w:start="1440" w:end="0"/>
        <w:jc w:val="both"/>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(iii)  </w:t>
      </w:r>
      <w:r>
        <w:rPr>
          <w:b/>
          <w:bCs/>
          <w:i/>
          <w:iCs/>
        </w:rPr>
        <w:t>Other Eligible Support.</w:t>
      </w:r>
      <w:r>
        <w:rPr/>
        <w:t xml:space="preserve">  There shall be no "</w:t>
      </w:r>
      <w:r>
        <w:rPr>
          <w:b/>
          <w:bCs/>
          <w:i/>
          <w:iCs/>
        </w:rPr>
        <w:t>Other Eligible Support</w:t>
      </w:r>
      <w:r>
        <w:rPr/>
        <w:t>" for either party for purposes of this Credit Support Annex.</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ab/>
        <w:t xml:space="preserve">(iv)  </w:t>
      </w:r>
      <w:r>
        <w:rPr>
          <w:b/>
          <w:bCs/>
          <w:i/>
          <w:iCs/>
        </w:rPr>
        <w:t>Thresholds.</w:t>
      </w:r>
    </w:p>
    <w:p>
      <w:pPr>
        <w:pStyle w:val="Normal"/>
        <w:keepNext w:val="true"/>
        <w:keepLines/>
        <w:widowControl/>
        <w:tabs>
          <w:tab w:val="clear" w:pos="720"/>
          <w:tab w:val="left" w:pos="-1440" w:leader="none"/>
          <w:tab w:val="left" w:pos="-720" w:leader="none"/>
        </w:tabs>
        <w:suppressAutoHyphens w:val="true"/>
        <w:rPr/>
      </w:pPr>
      <w:r>
        <w:rPr/>
      </w:r>
    </w:p>
    <w:p>
      <w:pPr>
        <w:pStyle w:val="Normal"/>
        <w:keepNext w:val="true"/>
        <w:keepLines/>
        <w:widowControl/>
        <w:tabs>
          <w:tab w:val="left" w:pos="-1440" w:leader="none"/>
          <w:tab w:val="left" w:pos="-720" w:leader="none"/>
          <w:tab w:val="left" w:pos="0" w:leader="none"/>
          <w:tab w:val="left" w:pos="720" w:leader="none"/>
          <w:tab w:val="left" w:pos="1440" w:leader="none"/>
        </w:tabs>
        <w:suppressAutoHyphens w:val="true"/>
        <w:ind w:hanging="2160" w:start="2160" w:end="0"/>
        <w:rPr/>
      </w:pPr>
      <w:r>
        <w:rPr/>
        <w:tab/>
        <w:tab/>
        <w:t>(A)</w:t>
      </w:r>
      <w:r>
        <w:rPr>
          <w:b/>
          <w:bCs/>
          <w:i/>
          <w:iCs/>
        </w:rPr>
        <w:tab/>
      </w:r>
      <w:r>
        <w:rPr/>
        <w:t>"</w:t>
      </w:r>
      <w:r>
        <w:rPr>
          <w:b/>
          <w:bCs/>
          <w:i/>
          <w:iCs/>
        </w:rPr>
        <w:t>Independent Amount</w:t>
      </w:r>
      <w:r>
        <w:rPr/>
        <w:t>" means with respect to Party B:  U.S.$[</w:t>
      </w:r>
      <w:r>
        <w:rPr>
          <w:strike/>
        </w:rPr>
        <w:t>______]</w:t>
      </w:r>
      <w:r>
        <w:rPr/>
        <w:t xml:space="preserve"> </w:t>
      </w:r>
      <w:r>
        <w:rPr>
          <w:b/>
          <w:bCs/>
          <w:u w:val="double"/>
        </w:rPr>
        <w:t>0]</w:t>
      </w:r>
      <w:r>
        <w:rPr/>
        <w:t>.</w:t>
      </w:r>
    </w:p>
    <w:p>
      <w:pPr>
        <w:pStyle w:val="Normal"/>
        <w:keepNext w:val="true"/>
        <w:keepLines/>
        <w:widowControl/>
        <w:tabs>
          <w:tab w:val="clear" w:pos="720"/>
          <w:tab w:val="left" w:pos="-1440" w:leader="none"/>
          <w:tab w:val="left" w:pos="-720" w:leader="none"/>
        </w:tabs>
        <w:suppressAutoHyphens w:val="true"/>
        <w:rPr/>
      </w:pPr>
      <w:r>
        <w:rPr/>
      </w:r>
    </w:p>
    <w:p>
      <w:pPr>
        <w:pStyle w:val="Normal"/>
        <w:widowControl/>
        <w:rPr/>
      </w:pPr>
      <w:r>
        <w:rPr/>
        <w:tab/>
        <w:tab/>
        <w:t>(B)</w:t>
      </w:r>
      <w:r>
        <w:rPr>
          <w:b/>
          <w:bCs/>
          <w:i/>
          <w:iCs/>
        </w:rPr>
        <w:tab/>
      </w:r>
      <w:r>
        <w:rPr/>
        <w:t>"</w:t>
      </w:r>
      <w:r>
        <w:rPr>
          <w:b/>
          <w:bCs/>
          <w:i/>
          <w:iCs/>
        </w:rPr>
        <w:t>Threshold</w:t>
      </w:r>
      <w:r>
        <w:rPr/>
        <w:t>" means with respect to Party B:  U.S. $475,000,000.</w:t>
      </w:r>
    </w:p>
    <w:p>
      <w:pPr>
        <w:pStyle w:val="Normal"/>
        <w:widowControl/>
        <w:tabs>
          <w:tab w:val="clear" w:pos="720"/>
          <w:tab w:val="left" w:pos="-1440" w:leader="none"/>
          <w:tab w:val="left" w:pos="-720" w:leader="none"/>
        </w:tabs>
        <w:suppressAutoHyphens w:val="true"/>
        <w:rPr/>
      </w:pPr>
      <w:r>
        <w:rPr/>
      </w:r>
    </w:p>
    <w:p>
      <w:pPr>
        <w:pStyle w:val="Normal"/>
        <w:widowControl/>
        <w:tabs>
          <w:tab w:val="left" w:pos="-720" w:leader="none"/>
          <w:tab w:val="left" w:pos="0" w:leader="none"/>
          <w:tab w:val="left" w:pos="720" w:leader="none"/>
          <w:tab w:val="left" w:pos="1440" w:leader="none"/>
          <w:tab w:val="left" w:pos="2970" w:leader="none"/>
        </w:tabs>
        <w:suppressAutoHyphens w:val="true"/>
        <w:ind w:hanging="2160" w:start="2160" w:end="0"/>
        <w:jc w:val="both"/>
        <w:rPr/>
      </w:pPr>
      <w:r>
        <w:rPr/>
        <w:tab/>
        <w:tab/>
        <w:t>(C)</w:t>
      </w:r>
      <w:r>
        <w:rPr>
          <w:b/>
          <w:bCs/>
          <w:i/>
          <w:iCs/>
        </w:rPr>
        <w:tab/>
      </w:r>
      <w:r>
        <w:rPr/>
        <w:t>"</w:t>
      </w:r>
      <w:r>
        <w:rPr>
          <w:b/>
          <w:bCs/>
          <w:i/>
          <w:iCs/>
        </w:rPr>
        <w:t>Minimum Transfer Amount</w:t>
      </w:r>
      <w:r>
        <w:rPr/>
        <w:t xml:space="preserve">" means, with respect to Party B, U.S.$50,000; </w:t>
      </w:r>
      <w:r>
        <w:rPr>
          <w:i/>
          <w:iCs/>
        </w:rPr>
        <w:t>provided</w:t>
      </w:r>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iCs/>
        </w:rPr>
        <w:t>provided further</w:t>
      </w:r>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widowControl/>
        <w:tabs>
          <w:tab w:val="clear" w:pos="720"/>
          <w:tab w:val="left" w:pos="-1440" w:leader="none"/>
          <w:tab w:val="left" w:pos="-720" w:leader="none"/>
        </w:tabs>
        <w:suppressAutoHyphens w:val="true"/>
        <w:rPr/>
      </w:pPr>
      <w:r>
        <w:rPr/>
      </w:r>
    </w:p>
    <w:p>
      <w:pPr>
        <w:pStyle w:val="Normal"/>
        <w:widowControl/>
        <w:ind w:hanging="720" w:start="2160" w:end="0"/>
        <w:rPr/>
      </w:pPr>
      <w:r>
        <w:rPr/>
        <w:t>(D)</w:t>
      </w:r>
      <w:r>
        <w:rPr>
          <w:b/>
          <w:bCs/>
        </w:rPr>
        <w:tab/>
        <w:t xml:space="preserve">Rounding. </w:t>
      </w:r>
      <w:r>
        <w:rPr/>
        <w:t xml:space="preserve">The Delivery Amount and the Return Amount will be rounded up and down to the nearest integral multiple of </w:t>
      </w:r>
      <w:r>
        <w:rPr>
          <w:strike/>
        </w:rPr>
        <w:t>$1,000</w:t>
      </w:r>
      <w:r>
        <w:rPr/>
        <w:t xml:space="preserve"> </w:t>
      </w:r>
      <w:r>
        <w:rPr>
          <w:b/>
          <w:bCs/>
          <w:u w:val="double"/>
        </w:rPr>
        <w:t>$[25,000]</w:t>
      </w:r>
      <w:r>
        <w:rPr/>
        <w:t xml:space="preserve">, respectively, with </w:t>
      </w:r>
      <w:r>
        <w:rPr>
          <w:strike/>
        </w:rPr>
        <w:t>$500</w:t>
      </w:r>
      <w:r>
        <w:rPr/>
        <w:t xml:space="preserve"> </w:t>
      </w:r>
      <w:r>
        <w:rPr>
          <w:b/>
          <w:bCs/>
          <w:u w:val="double"/>
        </w:rPr>
        <w:t>$[12,500]</w:t>
      </w:r>
      <w:r>
        <w:rPr/>
        <w:t xml:space="preserve"> being rounded up.</w:t>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ab/>
      </w:r>
    </w:p>
    <w:p>
      <w:pPr>
        <w:pStyle w:val="Normal"/>
        <w:widowControl/>
        <w:tabs>
          <w:tab w:val="clear" w:pos="720"/>
          <w:tab w:val="left" w:pos="-1440" w:leader="none"/>
          <w:tab w:val="left" w:pos="-720" w:leader="none"/>
          <w:tab w:val="left" w:pos="0" w:leader="none"/>
        </w:tabs>
        <w:suppressAutoHyphens w:val="true"/>
        <w:ind w:hanging="720" w:start="720" w:end="0"/>
        <w:rPr/>
      </w:pPr>
      <w:r>
        <w:rPr/>
        <w:t>(c)</w:t>
      </w:r>
      <w:r>
        <w:rPr>
          <w:b/>
          <w:bCs/>
          <w:i/>
          <w:iCs/>
        </w:rPr>
        <w:tab/>
        <w:t>Valuation and Timing.</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  "</w:t>
      </w:r>
      <w:r>
        <w:rPr>
          <w:b/>
          <w:bCs/>
          <w:i/>
          <w:iCs/>
        </w:rPr>
        <w:t>Valuation Agent</w:t>
      </w:r>
      <w:r>
        <w:rPr/>
        <w:t>" means Party A.</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(ii)  "</w:t>
      </w:r>
      <w:r>
        <w:rPr>
          <w:b/>
          <w:bCs/>
          <w:i/>
          <w:iCs/>
        </w:rPr>
        <w:t>Valuation Date</w:t>
      </w:r>
      <w:r>
        <w:rPr/>
        <w:t>" means each day that is a Local Business Day for both Party A and Party B.</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pPr>
      <w:r>
        <w:rPr/>
        <w:tab/>
        <w:t>(iii)  "</w:t>
      </w:r>
      <w:r>
        <w:rPr>
          <w:b/>
          <w:bCs/>
          <w:i/>
          <w:iCs/>
        </w:rPr>
        <w:t>Valuation Time</w:t>
      </w:r>
      <w:r>
        <w:rPr/>
        <w:t xml:space="preserve">" means the close of business in the city in which the principal office of the Valuation Agent is located on the Local Business Day in that city before the Valuation Date or date of calculation, as applicable; </w:t>
      </w:r>
      <w:r>
        <w:rPr>
          <w:i/>
          <w:iCs/>
        </w:rPr>
        <w:t>provided</w:t>
      </w:r>
      <w:r>
        <w:rPr/>
        <w:t xml:space="preserve"> that the calculations of Value and Exposure will be made as of approximately the same time on the same date.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(iv)  "</w:t>
      </w:r>
      <w:r>
        <w:rPr>
          <w:b/>
          <w:bCs/>
          <w:i/>
          <w:iCs/>
        </w:rPr>
        <w:t>Notification Time</w:t>
      </w:r>
      <w:r>
        <w:rPr/>
        <w:t>" means 1:00 p.m., New York time, on a Local Business Day.</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(d)</w:t>
      </w:r>
      <w:r>
        <w:rPr>
          <w:b/>
          <w:bCs/>
          <w:i/>
          <w:iCs/>
        </w:rPr>
        <w:tab/>
        <w:t>Conditions Precedent and Secured Party’s Rights and Remedies.</w:t>
      </w:r>
      <w:r>
        <w:rPr/>
        <w:t xml:space="preserve">  The following Termination Event(s) will be a "</w:t>
      </w:r>
      <w:r>
        <w:rPr>
          <w:b/>
          <w:bCs/>
          <w:i/>
          <w:iCs/>
        </w:rPr>
        <w:t>Specified Condition</w:t>
      </w:r>
      <w:r>
        <w:rPr/>
        <w:t>" for the party specified (that party being the Affected Party if the Termination Event occurs with respect to that party):</w:t>
      </w:r>
    </w:p>
    <w:p>
      <w:pPr>
        <w:pStyle w:val="Normal"/>
        <w:widowContro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Termination Event</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Party 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Party B</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Illegality</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Tax Event</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Tax Event Upon Merger</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Credit Event Upon Merger</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bottom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YES</w:t>
            </w:r>
          </w:p>
        </w:tc>
      </w:tr>
    </w:tbl>
    <w:p>
      <w:pPr>
        <w:pStyle w:val="Normal"/>
        <w:keepNext w:val="true"/>
        <w:widowControl/>
        <w:tabs>
          <w:tab w:val="clear" w:pos="720"/>
          <w:tab w:val="left" w:pos="-1440" w:leader="none"/>
          <w:tab w:val="left" w:pos="-720" w:leader="none"/>
        </w:tabs>
        <w:suppressAutoHyphens w:val="true"/>
        <w:ind w:start="1080" w:end="360"/>
        <w:rPr/>
      </w:pPr>
      <w:r>
        <w:rPr/>
      </w:r>
    </w:p>
    <w:p>
      <w:pPr>
        <w:pStyle w:val="Normal"/>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(e)</w:t>
      </w:r>
      <w:r>
        <w:rPr>
          <w:b/>
          <w:bCs/>
          <w:i/>
          <w:iCs/>
        </w:rPr>
        <w:tab/>
        <w:t>Substitution.</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ab/>
        <w:t>(i)  "</w:t>
      </w:r>
      <w:r>
        <w:rPr>
          <w:b/>
          <w:bCs/>
          <w:i/>
          <w:iCs/>
        </w:rPr>
        <w:t>Substitution Date</w:t>
      </w:r>
      <w:r>
        <w:rPr/>
        <w:t>" has the meaning specified in Paragraph 4(d)(ii).</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  </w:t>
      </w:r>
      <w:r>
        <w:rPr>
          <w:b/>
          <w:bCs/>
          <w:i/>
          <w:iCs/>
        </w:rPr>
        <w:t>Consent.</w:t>
      </w:r>
      <w:r>
        <w:rPr/>
        <w:t xml:space="preserve">  If specified here as applicable, then the Pledgor must obtain the Secured Party’s consent for any substitution pursuant to Paragraph 4(d):  Applicable.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b/>
          <w:bCs/>
        </w:rPr>
      </w:pPr>
      <w:r>
        <w:rPr/>
        <w:t>(f)</w:t>
      </w:r>
      <w:r>
        <w:rPr>
          <w:b/>
          <w:bCs/>
          <w:i/>
          <w:iCs/>
        </w:rPr>
        <w:tab/>
        <w:t>(This paragraph is intentionally left blank)</w:t>
      </w:r>
    </w:p>
    <w:p>
      <w:pPr>
        <w:pStyle w:val="Normal"/>
        <w:widowControl/>
        <w:tabs>
          <w:tab w:val="clear" w:pos="720"/>
          <w:tab w:val="left" w:pos="-1440" w:leader="none"/>
          <w:tab w:val="left" w:pos="-720" w:leader="none"/>
        </w:tabs>
        <w:suppressAutoHyphens w:val="true"/>
        <w:rPr>
          <w:b/>
          <w:bCs/>
        </w:rPr>
      </w:pPr>
      <w:r>
        <w:rPr>
          <w:b/>
          <w:bCs/>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(g)</w:t>
      </w:r>
      <w:r>
        <w:rPr>
          <w:b/>
          <w:bCs/>
          <w:i/>
          <w:iCs/>
        </w:rPr>
        <w:tab/>
        <w:t>Holding and Using Posted Collateral.</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ab/>
        <w:t xml:space="preserve">(i)  </w:t>
      </w:r>
      <w:r>
        <w:rPr>
          <w:b/>
          <w:bCs/>
          <w:i/>
          <w:iCs/>
        </w:rPr>
        <w:t xml:space="preserve">Eligibility to Hold Posted Collateral; Custodians.  </w:t>
      </w:r>
      <w:r>
        <w:rPr/>
        <w:t xml:space="preserve">Party A and its Custodian will be entitled to hold Posted Collateral pursuant to Paragraph 6(b); </w:t>
      </w:r>
      <w:r>
        <w:rPr>
          <w:i/>
          <w:iCs/>
        </w:rPr>
        <w:t>provided</w:t>
      </w:r>
      <w:r>
        <w:rPr/>
        <w:t xml:space="preserve"> that the following conditions applicable to it are satisfied:</w:t>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r>
    </w:p>
    <w:p>
      <w:pPr>
        <w:pStyle w:val="Normal"/>
        <w:keepNext w:val="true"/>
        <w:widowControl/>
        <w:numPr>
          <w:ilvl w:val="0"/>
          <w:numId w:val="3"/>
        </w:numPr>
        <w:tabs>
          <w:tab w:val="clear" w:pos="720"/>
          <w:tab w:val="left" w:pos="0" w:leader="none"/>
        </w:tabs>
        <w:suppressAutoHyphens w:val="true"/>
        <w:ind w:hanging="2160" w:start="4320" w:end="0"/>
        <w:rPr/>
      </w:pPr>
      <w:r>
        <w:rPr/>
        <w:t>Party A is not a Defaulting Party.</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numPr>
          <w:ilvl w:val="0"/>
          <w:numId w:val="4"/>
        </w:numPr>
        <w:tabs>
          <w:tab w:val="clear" w:pos="720"/>
          <w:tab w:val="left" w:pos="0" w:leader="none"/>
        </w:tabs>
        <w:suppressAutoHyphens w:val="true"/>
        <w:ind w:hanging="2160" w:start="4320" w:end="0"/>
        <w:rPr/>
      </w:pPr>
      <w:r>
        <w:rPr/>
        <w:t xml:space="preserve">Posted Collateral may be held only in the following jurisdictions:  United States </w:t>
      </w:r>
      <w:r>
        <w:rPr>
          <w:b/>
          <w:bCs/>
          <w:u w:val="double"/>
        </w:rPr>
        <w:t>[and the Bahamas].</w:t>
      </w:r>
    </w:p>
    <w:p>
      <w:pPr>
        <w:pStyle w:val="Normal"/>
        <w:keepNext w:val="true"/>
        <w:widowControl/>
        <w:tabs>
          <w:tab w:val="clear" w:pos="720"/>
          <w:tab w:val="left" w:pos="-1440" w:leader="none"/>
          <w:tab w:val="left" w:pos="-720" w:leader="none"/>
          <w:tab w:val="left" w:pos="0" w:leader="none"/>
        </w:tabs>
        <w:suppressAutoHyphens w:val="true"/>
        <w:rPr>
          <w:b/>
          <w:bCs/>
          <w:u w:val="double"/>
        </w:rPr>
      </w:pPr>
      <w:r>
        <w:rPr>
          <w:b/>
          <w:bCs/>
          <w:u w:val="double"/>
        </w:rPr>
      </w:r>
    </w:p>
    <w:p>
      <w:pPr>
        <w:pStyle w:val="Normal"/>
        <w:keepNext w:val="true"/>
        <w:widowControl/>
        <w:tabs>
          <w:tab w:val="clear" w:pos="720"/>
          <w:tab w:val="left" w:pos="-1440" w:leader="none"/>
          <w:tab w:val="left" w:pos="-720" w:leader="none"/>
          <w:tab w:val="left" w:pos="0" w:leader="none"/>
        </w:tabs>
        <w:suppressAutoHyphens w:val="true"/>
        <w:ind w:hanging="720" w:start="2160" w:end="0"/>
        <w:rPr/>
      </w:pPr>
      <w:r>
        <w:rPr>
          <w:b/>
          <w:bCs/>
          <w:u w:val="double"/>
        </w:rPr>
        <w:t>(3)</w:t>
      </w:r>
      <w:r>
        <w:rPr/>
        <w:tab/>
      </w:r>
      <w:r>
        <w:rPr>
          <w:b/>
          <w:bCs/>
          <w:u w:val="double"/>
        </w:rPr>
        <w:t>[Any Custodian must be (i) United States Trust Company of New York or (ii) a trust company or commercial bank with trust powers organized under Federal or state law and a combined capital and surplus of at least U.S.$150,000,000].</w:t>
      </w:r>
      <w:r>
        <w:rPr>
          <w:strike/>
        </w:rPr>
        <w:t>.</w:t>
      </w:r>
      <w:r>
        <w:rPr/>
        <w:t xml:space="preserve"> </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start="1440" w:end="0"/>
        <w:rPr/>
      </w:pPr>
      <w:r>
        <w:rPr/>
        <w:t xml:space="preserve">Initially, the </w:t>
      </w:r>
      <w:r>
        <w:rPr>
          <w:b/>
          <w:bCs/>
        </w:rPr>
        <w:t>Custodian</w:t>
      </w:r>
      <w:r>
        <w:rPr/>
        <w:t xml:space="preserve"> for Party A is:  None. </w:t>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  </w:t>
      </w:r>
      <w:r>
        <w:rPr>
          <w:b/>
          <w:bCs/>
          <w:i/>
          <w:iCs/>
        </w:rPr>
        <w:t>Use of Posted Collateral.</w:t>
      </w:r>
      <w:r>
        <w:rPr/>
        <w:t xml:space="preserve">  The provisions of Paragraph 6(c)(i) will apply. </w:t>
      </w:r>
    </w:p>
    <w:p>
      <w:pPr>
        <w:pStyle w:val="Normal"/>
        <w:keepNext w:val="true"/>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(h)</w:t>
      </w:r>
      <w:r>
        <w:rPr>
          <w:b/>
          <w:bCs/>
          <w:i/>
          <w:iCs/>
        </w:rPr>
        <w:tab/>
        <w:t xml:space="preserve">Distributions and Interest Amount.  </w:t>
      </w:r>
    </w:p>
    <w:p>
      <w:pPr>
        <w:pStyle w:val="Normal"/>
        <w:widowControl/>
        <w:tabs>
          <w:tab w:val="clear" w:pos="720"/>
          <w:tab w:val="left" w:pos="-1440" w:leader="none"/>
          <w:tab w:val="left" w:pos="-720" w:leader="none"/>
          <w:tab w:val="left" w:pos="0" w:leader="none"/>
        </w:tabs>
        <w:suppressAutoHyphens w:val="true"/>
        <w:ind w:hanging="720" w:start="720" w:end="0"/>
        <w:rPr>
          <w:b/>
          <w:bCs/>
          <w:i/>
          <w:i/>
          <w:iCs/>
        </w:rPr>
      </w:pPr>
      <w:r>
        <w:rPr>
          <w:b/>
          <w:bCs/>
          <w:i/>
          <w:iCs/>
        </w:rPr>
      </w:r>
    </w:p>
    <w:p>
      <w:pPr>
        <w:pStyle w:val="Normal"/>
        <w:widowControl/>
        <w:ind w:start="720" w:end="0"/>
        <w:rPr/>
      </w:pPr>
      <w:r>
        <w:rPr/>
        <w:t xml:space="preserve">(i)  </w:t>
      </w:r>
      <w:r>
        <w:rPr>
          <w:b/>
          <w:bCs/>
          <w:i/>
          <w:iCs/>
        </w:rPr>
        <w:t xml:space="preserve">Interest Rate.  </w:t>
      </w:r>
      <w:r>
        <w:rPr/>
        <w:t>The "</w:t>
      </w:r>
      <w:r>
        <w:rPr>
          <w:b/>
          <w:bCs/>
          <w:i/>
          <w:iCs/>
        </w:rPr>
        <w:t>Interest Rate</w:t>
      </w:r>
      <w:r>
        <w:rPr/>
        <w:t>" will be the Federal Funds Rate minus 25 basis points.  "</w:t>
      </w:r>
      <w:r>
        <w:rPr>
          <w:b/>
          <w:bCs/>
          <w:i/>
          <w:iCs/>
        </w:rPr>
        <w:t>Federal Funds Rate</w:t>
      </w:r>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r>
        <w:rPr>
          <w:b/>
          <w:bCs/>
          <w:i/>
          <w:iCs/>
        </w:rPr>
        <w:t>H.15(519)</w:t>
      </w:r>
      <w:r>
        <w:rPr/>
        <w:t>" means the weekly statistical release designated as such, or any successor publication, published by the Board of Governors of the Federal Reserve System.  "</w:t>
      </w:r>
      <w:r>
        <w:rPr>
          <w:b/>
          <w:bCs/>
          <w:i/>
          <w:iCs/>
        </w:rPr>
        <w:t>Composite 3:30 P.M. Quotations for U.S. Government Securities</w:t>
      </w:r>
      <w:r>
        <w:rPr/>
        <w:t>" means the daily statistical release designated as such, or any successor publication, published by the Federal Reserve Bank of New York.</w:t>
      </w:r>
    </w:p>
    <w:p>
      <w:pPr>
        <w:pStyle w:val="Normal"/>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numPr>
          <w:ilvl w:val="0"/>
          <w:numId w:val="5"/>
        </w:numPr>
        <w:tabs>
          <w:tab w:val="clear" w:pos="720"/>
          <w:tab w:val="left" w:pos="0" w:leader="none"/>
        </w:tabs>
        <w:suppressAutoHyphens w:val="true"/>
        <w:ind w:hanging="1440" w:start="2160" w:end="0"/>
        <w:rPr/>
      </w:pPr>
      <w:r>
        <w:rPr>
          <w:b/>
          <w:bCs/>
          <w:i/>
          <w:iCs/>
        </w:rPr>
        <w:t>Transfer of Interest Amount.</w:t>
      </w:r>
      <w:r>
        <w:rPr/>
        <w:t xml:space="preserve">  The Transfer of the Interest Amount will be made on the last Local Business Day of each calendar month.</w:t>
      </w:r>
    </w:p>
    <w:p>
      <w:pPr>
        <w:pStyle w:val="Normal"/>
        <w:widowControl/>
        <w:tabs>
          <w:tab w:val="clear" w:pos="720"/>
          <w:tab w:val="left" w:pos="-720" w:leader="none"/>
          <w:tab w:val="left" w:pos="0" w:leader="none"/>
        </w:tabs>
        <w:suppressAutoHyphens w:val="true"/>
        <w:jc w:val="both"/>
        <w:rPr>
          <w:b/>
          <w:bCs/>
          <w:i/>
          <w:i/>
          <w:iCs/>
        </w:rPr>
      </w:pPr>
      <w:r>
        <w:rPr>
          <w:b/>
          <w:bCs/>
          <w:i/>
          <w:iCs/>
        </w:rPr>
      </w:r>
    </w:p>
    <w:p>
      <w:pPr>
        <w:pStyle w:val="Normal"/>
        <w:widowControl/>
        <w:tabs>
          <w:tab w:val="clear" w:pos="720"/>
          <w:tab w:val="left" w:pos="-720" w:leader="none"/>
          <w:tab w:val="left" w:pos="0" w:leader="none"/>
        </w:tabs>
        <w:suppressAutoHyphens w:val="true"/>
        <w:jc w:val="both"/>
        <w:rPr/>
      </w:pPr>
      <w:r>
        <w:rPr>
          <w:b/>
          <w:bCs/>
          <w:i/>
          <w:iCs/>
        </w:rPr>
        <w:tab/>
      </w:r>
      <w:r>
        <w:rPr/>
        <w:t>(iii)</w:t>
        <w:tab/>
      </w:r>
      <w:r>
        <w:rPr>
          <w:b/>
          <w:bCs/>
          <w:i/>
          <w:iCs/>
        </w:rPr>
        <w:t xml:space="preserve">Alternative to Interest Amount.  </w:t>
      </w:r>
      <w:r>
        <w:rPr/>
        <w:t>The provisions of Paragraph 6(d)(ii) will apply.</w:t>
      </w:r>
    </w:p>
    <w:p>
      <w:pPr>
        <w:pStyle w:val="Normal"/>
        <w:widowControl/>
        <w:tabs>
          <w:tab w:val="clear" w:pos="720"/>
          <w:tab w:val="left" w:pos="-1440" w:leader="none"/>
          <w:tab w:val="left" w:pos="-720" w:leader="none"/>
          <w:tab w:val="left" w:pos="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(i)</w:t>
      </w:r>
      <w:r>
        <w:rPr>
          <w:b/>
          <w:bCs/>
          <w:i/>
          <w:iCs/>
        </w:rPr>
        <w:tab/>
        <w:t xml:space="preserve">Additional Representation(s).  </w:t>
      </w:r>
      <w:r>
        <w:rPr/>
        <w:t>None.</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(j)</w:t>
      </w:r>
      <w:r>
        <w:rPr>
          <w:b/>
          <w:bCs/>
          <w:i/>
          <w:iCs/>
        </w:rPr>
        <w:tab/>
        <w:t xml:space="preserve">Other Eligible Support and Other Posted Support.  </w:t>
      </w:r>
      <w:r>
        <w:rPr/>
        <w:t>None.</w:t>
      </w:r>
    </w:p>
    <w:p>
      <w:pPr>
        <w:pStyle w:val="Normal"/>
        <w:keepNext w:val="true"/>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(k)</w:t>
      </w:r>
      <w:r>
        <w:rPr>
          <w:b/>
          <w:bCs/>
          <w:i/>
          <w:iCs/>
        </w:rPr>
        <w:tab/>
        <w:t>Demands and Notices.</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All demands, specifications and notices under this Annex will be made pursuant to the Notices Section of this Agreement, unless otherwise specified here:</w:t>
      </w:r>
    </w:p>
    <w:p>
      <w:pPr>
        <w:pStyle w:val="Normal"/>
        <w:widowControl/>
        <w:rPr/>
      </w:pPr>
      <w:r>
        <w:rPr/>
      </w:r>
    </w:p>
    <w:p>
      <w:pPr>
        <w:pStyle w:val="Normal"/>
        <w:widowControl/>
        <w:tabs>
          <w:tab w:val="clear" w:pos="720"/>
          <w:tab w:val="left" w:pos="432" w:leader="none"/>
        </w:tabs>
        <w:suppressAutoHyphens w:val="true"/>
        <w:ind w:end="432"/>
        <w:jc w:val="both"/>
        <w:rPr/>
      </w:pPr>
      <w:r>
        <w:rPr/>
        <w:tab/>
        <w:tab/>
        <w:t>Party A:</w:t>
        <w:tab/>
        <w:tab/>
        <w:t>Citibank, N.A.</w:t>
      </w:r>
    </w:p>
    <w:p>
      <w:pPr>
        <w:pStyle w:val="Normal"/>
        <w:widowControl/>
        <w:suppressAutoHyphens w:val="true"/>
        <w:ind w:firstLine="720" w:start="1440" w:end="1008"/>
        <w:jc w:val="both"/>
        <w:rPr/>
      </w:pPr>
      <w:r>
        <w:rPr/>
        <w:t>333 West 34</w:t>
      </w:r>
      <w:r>
        <w:rPr>
          <w:vertAlign w:val="superscript"/>
        </w:rPr>
        <w:t>th</w:t>
      </w:r>
      <w:r>
        <w:rPr/>
        <w:t xml:space="preserve"> Street</w:t>
      </w:r>
    </w:p>
    <w:p>
      <w:pPr>
        <w:pStyle w:val="Normal"/>
        <w:widowControl/>
        <w:suppressAutoHyphens w:val="true"/>
        <w:ind w:firstLine="720" w:start="1440" w:end="1008"/>
        <w:jc w:val="both"/>
        <w:rPr/>
      </w:pPr>
      <w:r>
        <w:rPr/>
        <w:t>2nd Floor</w:t>
      </w:r>
    </w:p>
    <w:p>
      <w:pPr>
        <w:pStyle w:val="Normal"/>
        <w:widowControl/>
        <w:suppressAutoHyphens w:val="true"/>
        <w:ind w:firstLine="720" w:start="1440" w:end="1008"/>
        <w:jc w:val="both"/>
        <w:rPr/>
      </w:pPr>
      <w:r>
        <w:rPr/>
        <w:t>New York, New York  10001</w:t>
      </w:r>
    </w:p>
    <w:p>
      <w:pPr>
        <w:pStyle w:val="Normal"/>
        <w:widowControl/>
        <w:suppressAutoHyphens w:val="true"/>
        <w:ind w:firstLine="720" w:start="1440" w:end="1008"/>
        <w:jc w:val="both"/>
        <w:rPr/>
      </w:pPr>
      <w:r>
        <w:rPr/>
        <w:t>Attention:  Margin Operations</w:t>
      </w:r>
    </w:p>
    <w:p>
      <w:pPr>
        <w:pStyle w:val="Normal"/>
        <w:widowControl/>
        <w:suppressAutoHyphens w:val="true"/>
        <w:ind w:firstLine="720" w:start="1440" w:end="1008"/>
        <w:jc w:val="both"/>
        <w:rPr/>
      </w:pPr>
      <w:r>
        <w:rPr/>
        <w:t>Telephone No.:  212-615-8205</w:t>
      </w:r>
    </w:p>
    <w:p>
      <w:pPr>
        <w:pStyle w:val="Normal"/>
        <w:widowControl/>
        <w:suppressAutoHyphens w:val="true"/>
        <w:ind w:firstLine="720" w:start="1440" w:end="1008"/>
        <w:jc w:val="both"/>
        <w:rPr/>
      </w:pPr>
      <w:r>
        <w:rPr/>
        <w:t>Telefax No.:  212-615-8295</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 w:val="left" w:pos="0" w:leader="none"/>
        </w:tabs>
        <w:suppressAutoHyphens w:val="true"/>
        <w:ind w:hanging="720" w:start="720" w:end="0"/>
        <w:jc w:val="both"/>
        <w:rPr/>
      </w:pPr>
      <w:r>
        <w:rPr/>
        <w:tab/>
        <w:t>Party B:</w:t>
        <w:tab/>
        <w:tab/>
      </w:r>
      <w:r>
        <w:rPr>
          <w:b/>
          <w:bCs/>
          <w:u w:val="double"/>
        </w:rPr>
        <w:t>As set forth in the Confirmation dated as of August 25, 2000.</w:t>
      </w: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t>_______________________</w:t>
      </w:r>
    </w:p>
    <w:p>
      <w:pPr>
        <w:pStyle w:val="Normal"/>
        <w:widowControl/>
        <w:rPr/>
      </w:pPr>
      <w:r>
        <w:rPr/>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(l)</w:t>
      </w:r>
      <w:r>
        <w:rPr>
          <w:b/>
          <w:bCs/>
          <w:i/>
          <w:iCs/>
        </w:rPr>
        <w:tab/>
        <w:t>Addresses for Transfers.</w:t>
      </w:r>
    </w:p>
    <w:p>
      <w:pPr>
        <w:pStyle w:val="Normal"/>
        <w:keepNext w:val="true"/>
        <w:keepLines/>
        <w:widowControl/>
        <w:tabs>
          <w:tab w:val="clear" w:pos="720"/>
          <w:tab w:val="left" w:pos="-1440" w:leader="none"/>
          <w:tab w:val="left" w:pos="-720" w:leader="none"/>
        </w:tabs>
        <w:suppressAutoHyphens w:val="true"/>
        <w:rPr/>
      </w:pPr>
      <w:r>
        <w:rPr/>
      </w:r>
    </w:p>
    <w:p>
      <w:pPr>
        <w:pStyle w:val="BodyText2"/>
        <w:widowControl/>
        <w:jc w:val="both"/>
        <w:rPr>
          <w:sz w:val="20"/>
          <w:szCs w:val="20"/>
        </w:rPr>
      </w:pPr>
      <w:r>
        <w:rPr>
          <w:sz w:val="20"/>
          <w:szCs w:val="20"/>
        </w:rPr>
        <w:t>Party A:</w:t>
        <w:tab/>
        <w:t xml:space="preserve">As set forth in demands and notices from one party to the other party from time to time. </w:t>
      </w:r>
    </w:p>
    <w:p>
      <w:pPr>
        <w:pStyle w:val="Normal"/>
        <w:widowControl/>
        <w:tabs>
          <w:tab w:val="clear" w:pos="720"/>
          <w:tab w:val="left" w:pos="-720" w:leader="none"/>
        </w:tabs>
        <w:suppressAutoHyphens w:val="true"/>
        <w:jc w:val="both"/>
        <w:rPr>
          <w:sz w:val="20"/>
          <w:szCs w:val="20"/>
        </w:rPr>
      </w:pPr>
      <w:r>
        <w:rPr>
          <w:sz w:val="20"/>
          <w:szCs w:val="20"/>
        </w:rPr>
      </w:r>
    </w:p>
    <w:p>
      <w:pPr>
        <w:pStyle w:val="Normal"/>
        <w:widowControl/>
        <w:tabs>
          <w:tab w:val="clear" w:pos="720"/>
          <w:tab w:val="left" w:pos="-720" w:leader="none"/>
          <w:tab w:val="left" w:pos="0" w:leader="none"/>
        </w:tabs>
        <w:suppressAutoHyphens w:val="true"/>
        <w:ind w:hanging="720" w:start="720" w:end="0"/>
        <w:jc w:val="both"/>
        <w:rPr/>
      </w:pPr>
      <w:r>
        <w:rPr/>
        <w:tab/>
        <w:t>Party B:</w:t>
        <w:tab/>
        <w:tab/>
      </w:r>
      <w:r>
        <w:rPr>
          <w:b/>
          <w:bCs/>
          <w:u w:val="double"/>
        </w:rPr>
        <w:t>As set forth in the Confirmation dated as of August 25, 2000.</w:t>
      </w: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t>_______________________</w:t>
      </w:r>
    </w:p>
    <w:p>
      <w:pPr>
        <w:pStyle w:val="Normal"/>
        <w:widowControl/>
        <w:rPr/>
      </w:pPr>
      <w:r>
        <w:rPr/>
      </w:r>
    </w:p>
    <w:p>
      <w:pPr>
        <w:pStyle w:val="Normal"/>
        <w:widowControl/>
        <w:tabs>
          <w:tab w:val="clear" w:pos="720"/>
          <w:tab w:val="left" w:pos="-1440" w:leader="none"/>
          <w:tab w:val="left" w:pos="-720" w:leader="none"/>
        </w:tabs>
        <w:suppressAutoHyphens w:val="true"/>
        <w:ind w:start="1440" w:end="0"/>
        <w:rPr/>
      </w:pPr>
      <w:r>
        <w:rPr/>
      </w:r>
    </w:p>
    <w:p>
      <w:pPr>
        <w:pStyle w:val="Normal"/>
        <w:widowControl/>
        <w:numPr>
          <w:ilvl w:val="0"/>
          <w:numId w:val="6"/>
        </w:numPr>
        <w:tabs>
          <w:tab w:val="clear" w:pos="720"/>
          <w:tab w:val="left" w:pos="0" w:leader="none"/>
        </w:tabs>
        <w:suppressAutoHyphens w:val="true"/>
        <w:ind w:hanging="720" w:start="1440" w:end="0"/>
        <w:jc w:val="both"/>
        <w:rPr/>
      </w:pPr>
      <w:r>
        <w:rPr>
          <w:b/>
          <w:bCs/>
          <w:i/>
          <w:iCs/>
        </w:rPr>
        <w:t>Other Provisions.</w:t>
      </w:r>
      <w:r>
        <w:rPr/>
        <w:t xml:space="preserve"> </w:t>
      </w:r>
    </w:p>
    <w:p>
      <w:pPr>
        <w:pStyle w:val="Normal"/>
        <w:widowControl/>
        <w:tabs>
          <w:tab w:val="left" w:pos="-720" w:leader="none"/>
          <w:tab w:val="left" w:pos="0" w:leader="none"/>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(i)</w:t>
        <w:tab/>
        <w:t>The definition of Posted Collateral shall also include any and all accounts in which the Cash which constitutes Posted Collateral is held.</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1350" w:start="1350" w:end="0"/>
        <w:jc w:val="both"/>
        <w:rPr/>
      </w:pPr>
      <w:r>
        <w:rPr/>
        <w:tab/>
        <w:t>(ii)</w:t>
        <w:tab/>
        <w:t>Paragraph 6(a) is hereby amended by adding the following sentence to the end thereof:</w:t>
      </w:r>
    </w:p>
    <w:p>
      <w:pPr>
        <w:pStyle w:val="Normal"/>
        <w:widowControl/>
        <w:tabs>
          <w:tab w:val="left" w:pos="-720" w:leader="none"/>
          <w:tab w:val="left" w:pos="0" w:leader="none"/>
          <w:tab w:val="left" w:pos="720" w:leader="none"/>
        </w:tabs>
        <w:suppressAutoHyphens w:val="true"/>
        <w:ind w:hanging="1440" w:start="1440" w:end="0"/>
        <w:jc w:val="both"/>
        <w:rPr/>
      </w:pPr>
      <w:r>
        <w:rPr/>
        <w:tab/>
      </w:r>
    </w:p>
    <w:p>
      <w:pPr>
        <w:pStyle w:val="BlockText"/>
        <w:widowControl/>
        <w:tabs>
          <w:tab w:val="clear" w:pos="0"/>
          <w:tab w:val="clear" w:pos="720"/>
          <w:tab w:val="clear" w:pos="1008"/>
          <w:tab w:val="clear" w:pos="1440"/>
        </w:tabs>
        <w:ind w:hanging="2160" w:start="2160" w:end="1008"/>
        <w:jc w:val="both"/>
        <w:rPr>
          <w:sz w:val="20"/>
          <w:szCs w:val="20"/>
        </w:rPr>
      </w:pPr>
      <w:r>
        <w:rPr>
          <w:sz w:val="20"/>
          <w:szCs w:val="20"/>
        </w:rPr>
        <w:tab/>
        <w:t xml:space="preserve">The Secured Party shall identify on its books and records the Posted Collateral (including for the sake of clarity, any cash proceeds of or distribution on such Posted Collateral) held by it from all other assets it may hold.  </w:t>
      </w:r>
    </w:p>
    <w:p>
      <w:pPr>
        <w:pStyle w:val="Normal"/>
        <w:widowControl/>
        <w:tabs>
          <w:tab w:val="left" w:pos="-720" w:leader="none"/>
          <w:tab w:val="left" w:pos="0" w:leader="none"/>
          <w:tab w:val="left" w:pos="720" w:leader="none"/>
        </w:tabs>
        <w:suppressAutoHyphens w:val="true"/>
        <w:ind w:hanging="2160" w:start="2160" w:end="0"/>
        <w:jc w:val="both"/>
        <w:rPr>
          <w:sz w:val="20"/>
          <w:szCs w:val="20"/>
        </w:rPr>
      </w:pPr>
      <w:r>
        <w:rPr>
          <w:sz w:val="20"/>
          <w:szCs w:val="20"/>
        </w:rPr>
      </w:r>
    </w:p>
    <w:p>
      <w:pPr>
        <w:pStyle w:val="Normal"/>
        <w:widowControl/>
        <w:tabs>
          <w:tab w:val="left" w:pos="-720" w:leader="none"/>
          <w:tab w:val="left" w:pos="0" w:leader="none"/>
          <w:tab w:val="left" w:pos="720" w:leader="none"/>
        </w:tabs>
        <w:suppressAutoHyphens w:val="true"/>
        <w:ind w:hanging="1350" w:start="1350" w:end="0"/>
        <w:jc w:val="both"/>
        <w:rPr/>
      </w:pPr>
      <w:r>
        <w:rPr/>
        <w:tab/>
        <w:t>(iii)</w:t>
        <w:tab/>
        <w:t>The following new paragraph is added to the end of Paragraph 8(a):</w:t>
      </w:r>
    </w:p>
    <w:p>
      <w:pPr>
        <w:pStyle w:val="Normal"/>
        <w:keepNext w:val="true"/>
        <w:widowControl/>
        <w:tabs>
          <w:tab w:val="clear" w:pos="720"/>
          <w:tab w:val="left" w:pos="-720" w:leader="none"/>
        </w:tabs>
        <w:suppressAutoHyphens w:val="true"/>
        <w:jc w:val="both"/>
        <w:rPr/>
      </w:pPr>
      <w:r>
        <w:rPr/>
      </w:r>
    </w:p>
    <w:p>
      <w:pPr>
        <w:pStyle w:val="Normal"/>
        <w:keepNext w:val="true"/>
        <w:widowControl/>
        <w:tabs>
          <w:tab w:val="left" w:pos="-720" w:leader="none"/>
          <w:tab w:val="left" w:pos="0" w:leader="none"/>
          <w:tab w:val="left" w:pos="720" w:leader="none"/>
          <w:tab w:val="left" w:pos="1440" w:leader="none"/>
        </w:tabs>
        <w:suppressAutoHyphens w:val="true"/>
        <w:ind w:hanging="2160" w:start="2160" w:end="0"/>
        <w:jc w:val="both"/>
        <w:rPr/>
      </w:pPr>
      <w:r>
        <w:rPr/>
        <w:tab/>
        <w:tab/>
        <w:tab/>
        <w:t>To the extent notice is required under applicable law, the parties hereto agree that notice on the day of sale is reasonable notice for purposes of the Uniform Commercial Code 9-504(3) (as in effect in New York).</w:t>
      </w:r>
    </w:p>
    <w:p>
      <w:pPr>
        <w:pStyle w:val="BodyTextIndent2"/>
        <w:keepNext w:val="false"/>
        <w:keepLines w:val="false"/>
        <w:widowControl/>
        <w:ind w:hanging="720" w:start="720" w:end="0"/>
        <w:jc w:val="both"/>
        <w:rPr>
          <w:sz w:val="20"/>
          <w:szCs w:val="20"/>
        </w:rPr>
      </w:pPr>
      <w:r>
        <w:rPr>
          <w:sz w:val="20"/>
          <w:szCs w:val="20"/>
        </w:rPr>
        <w:tab/>
      </w:r>
    </w:p>
    <w:p>
      <w:pPr>
        <w:pStyle w:val="Normal"/>
        <w:widowControl/>
        <w:tabs>
          <w:tab w:val="clear" w:pos="720"/>
          <w:tab w:val="left" w:pos="-720" w:leader="none"/>
        </w:tabs>
        <w:suppressAutoHyphens w:val="true"/>
        <w:ind w:hanging="630" w:start="1350" w:end="0"/>
        <w:jc w:val="both"/>
        <w:rPr/>
      </w:pPr>
      <w:r>
        <w:rPr/>
        <w:t>(iv)</w:t>
        <w:tab/>
        <w:t>Events of Default.  Paragraph 7(i) shall be amended and restated in its entirety as follows: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ind w:hanging="2160" w:start="2160" w:end="0"/>
        <w:jc w:val="both"/>
        <w:rPr/>
      </w:pPr>
      <w:r>
        <w:rPr/>
        <w:tab/>
        <w:t>(i)  that party fails (or fails to cause its Custodian) to make, when due any Transfer of Eligible Collateral, Posted Collateral or the Interest Amount as applicable, required to be made by it and that failure continues for one Local Business Day after notice of that failure is given to that party.</w:t>
      </w:r>
    </w:p>
    <w:p>
      <w:pPr>
        <w:pStyle w:val="BodyTextIndent2"/>
        <w:keepNext w:val="false"/>
        <w:keepLines w:val="false"/>
        <w:widowControl/>
        <w:tabs>
          <w:tab w:val="clear" w:pos="720"/>
          <w:tab w:val="left" w:pos="-720" w:leader="none"/>
          <w:tab w:val="left" w:pos="0" w:leader="none"/>
          <w:tab w:val="left" w:pos="630" w:leader="none"/>
          <w:tab w:val="left" w:pos="1350" w:leader="none"/>
          <w:tab w:val="left" w:pos="2070" w:leader="none"/>
        </w:tabs>
        <w:ind w:hanging="1350" w:start="1350" w:end="0"/>
        <w:jc w:val="both"/>
        <w:rPr>
          <w:sz w:val="20"/>
          <w:szCs w:val="20"/>
        </w:rPr>
      </w:pPr>
      <w:r>
        <w:rPr>
          <w:sz w:val="20"/>
          <w:szCs w:val="20"/>
        </w:rPr>
      </w:r>
    </w:p>
    <w:p>
      <w:pPr>
        <w:pStyle w:val="Normal"/>
        <w:widowControl/>
        <w:tabs>
          <w:tab w:val="clear" w:pos="720"/>
          <w:tab w:val="left" w:pos="-720" w:leader="none"/>
        </w:tabs>
        <w:suppressAutoHyphens w:val="true"/>
        <w:ind w:start="720" w:end="0"/>
        <w:jc w:val="both"/>
        <w:rPr/>
      </w:pPr>
      <w:r>
        <w:rPr/>
        <w:t>(v)</w:t>
        <w:tab/>
        <w:t>Each determination by Party A hereunder shall, in the absence of manifest error, be conclusive and binding on the parties.</w:t>
      </w:r>
    </w:p>
    <w:p>
      <w:pPr>
        <w:pStyle w:val="BodyTextIndent2"/>
        <w:keepNext w:val="false"/>
        <w:keepLines w:val="false"/>
        <w:widowControl/>
        <w:tabs>
          <w:tab w:val="clear" w:pos="720"/>
          <w:tab w:val="left" w:pos="-720" w:leader="none"/>
          <w:tab w:val="left" w:pos="0" w:leader="none"/>
          <w:tab w:val="left" w:pos="630" w:leader="none"/>
          <w:tab w:val="left" w:pos="1350" w:leader="none"/>
          <w:tab w:val="left" w:pos="2070" w:leader="none"/>
        </w:tabs>
        <w:ind w:hanging="1350" w:start="1350" w:end="0"/>
        <w:jc w:val="both"/>
        <w:rPr>
          <w:sz w:val="20"/>
          <w:szCs w:val="20"/>
        </w:rPr>
      </w:pPr>
      <w:r>
        <w:rPr>
          <w:sz w:val="20"/>
          <w:szCs w:val="20"/>
        </w:rPr>
      </w:r>
    </w:p>
    <w:p>
      <w:pPr>
        <w:pStyle w:val="BodyTextIndent2"/>
        <w:keepNext w:val="false"/>
        <w:keepLines w:val="false"/>
        <w:widowControl/>
        <w:ind w:hanging="720" w:start="720" w:end="0"/>
        <w:jc w:val="both"/>
        <w:rPr>
          <w:sz w:val="20"/>
          <w:szCs w:val="20"/>
        </w:rPr>
      </w:pPr>
      <w:r>
        <w:rPr>
          <w:sz w:val="20"/>
          <w:szCs w:val="20"/>
        </w:rPr>
        <w:tab/>
        <w:t>(vi)         Party A may by notice require Party B to deposit and hold Posted Collateral consisting of  Cash Transferred to or received by Party A as the Secured Party hereunder in an account with the Nassau, Bahamas branch of Party A (such branch referred to hereafter as “Citi-Nassau”), and Citi-Nassau shall not be liable for unavailability of such Cash due to restrictions on convertibility or transferability, requisitions, involuntary transfers, acts of war or civil strife, or other similar causes beyond its control, in which circumstances no other branch, subsidiary, or affiliate of Citi-Nassau shall be responsible therefor.</w:t>
      </w:r>
      <w:r>
        <w:rPr>
          <w:b/>
          <w:bCs/>
          <w:sz w:val="20"/>
          <w:szCs w:val="20"/>
          <w:u w:val="double"/>
        </w:rPr>
        <w:t xml:space="preserve">  [TO BE DISCUSSED]</w:t>
      </w:r>
    </w:p>
    <w:p>
      <w:pPr>
        <w:pStyle w:val="Normal"/>
        <w:widowControl/>
        <w:rPr>
          <w:sz w:val="20"/>
          <w:szCs w:val="20"/>
        </w:rPr>
      </w:pPr>
      <w:r>
        <w:rPr>
          <w:sz w:val="20"/>
          <w:szCs w:val="20"/>
        </w:rPr>
      </w:r>
    </w:p>
    <w:p>
      <w:pPr>
        <w:pStyle w:val="Normal"/>
        <w:widowControl/>
        <w:jc w:val="center"/>
        <w:rPr/>
      </w:pPr>
      <w:r>
        <w:rPr/>
        <w:t>[remainder of page intentionally blank]</w:t>
      </w:r>
    </w:p>
    <w:p>
      <w:pPr>
        <w:sectPr>
          <w:footerReference w:type="default" r:id="rId2"/>
          <w:type w:val="nextPage"/>
          <w:pgSz w:w="12240" w:h="15840"/>
          <w:pgMar w:left="1800" w:right="1800" w:gutter="0" w:header="0" w:top="1440" w:footer="720" w:bottom="1440"/>
          <w:pgNumType w:start="11" w:fmt="decimal"/>
          <w:formProt w:val="false"/>
          <w:textDirection w:val="lrTb"/>
        </w:sectPr>
        <w:pStyle w:val="Normal"/>
        <w:widowControl/>
        <w:rPr/>
      </w:pPr>
      <w:r>
        <w:rPr/>
      </w:r>
    </w:p>
    <w:p>
      <w:pPr>
        <w:pStyle w:val="Normal"/>
        <w:widowControl/>
        <w:ind w:start="720" w:end="0"/>
        <w:rPr/>
      </w:pPr>
      <w:r>
        <w:rPr/>
      </w:r>
    </w:p>
    <w:p>
      <w:pPr>
        <w:pStyle w:val="Normal"/>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b/>
          <w:bCs/>
        </w:rPr>
        <w:tab/>
        <w:t>IN WITNESS WHEREOF</w:t>
      </w:r>
      <w:r>
        <w:rPr/>
        <w:t xml:space="preserve"> the parties have executed this Credit Support Annex on the respective dates specified below with effect from the date specified on the first page of this Credit Support Annex.</w:t>
      </w:r>
    </w:p>
    <w:p>
      <w:pPr>
        <w:pStyle w:val="Normal"/>
        <w:keepNext w:val="true"/>
        <w:widowControl/>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widowControl/>
              <w:tabs>
                <w:tab w:val="clear" w:pos="720"/>
                <w:tab w:val="left" w:pos="-1440" w:leader="none"/>
                <w:tab w:val="left" w:pos="-720" w:leader="none"/>
              </w:tabs>
              <w:suppressAutoHyphens w:val="true"/>
              <w:rPr/>
            </w:pPr>
            <w:r>
              <w:rPr/>
              <w:t>CITIBANK, N.A.</w:t>
            </w:r>
          </w:p>
        </w:tc>
        <w:tc>
          <w:tcPr>
            <w:tcW w:w="696" w:type="dxa"/>
            <w:tcBorders/>
          </w:tcPr>
          <w:p>
            <w:pPr>
              <w:pStyle w:val="Normal"/>
              <w:keepNext w:val="true"/>
              <w:keepLines/>
              <w:widowControl/>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widowControl/>
              <w:tabs>
                <w:tab w:val="clear" w:pos="720"/>
                <w:tab w:val="left" w:pos="-1440" w:leader="none"/>
                <w:tab w:val="left" w:pos="-720" w:leader="none"/>
              </w:tabs>
              <w:suppressAutoHyphens w:val="true"/>
              <w:rPr/>
            </w:pPr>
            <w:r>
              <w:rPr/>
              <w:t>ENRON NORTH AMERICA CORP.</w:t>
            </w:r>
          </w:p>
          <w:p>
            <w:pPr>
              <w:pStyle w:val="Normal"/>
              <w:keepNext w:val="true"/>
              <w:widowControl/>
              <w:tabs>
                <w:tab w:val="clear" w:pos="720"/>
                <w:tab w:val="left" w:pos="-1440" w:leader="none"/>
                <w:tab w:val="left" w:pos="-720" w:leader="none"/>
              </w:tabs>
              <w:suppressAutoHyphens w:val="true"/>
              <w:rPr/>
            </w:pPr>
            <w:r>
              <w:rPr/>
            </w:r>
          </w:p>
        </w:tc>
      </w:tr>
      <w:tr>
        <w:trPr/>
        <w:tc>
          <w:tcPr>
            <w:tcW w:w="4296" w:type="dxa"/>
            <w:tcBorders/>
          </w:tcPr>
          <w:p>
            <w:pPr>
              <w:pStyle w:val="Normal"/>
              <w:keepNext w:val="true"/>
              <w:widowControl/>
              <w:tabs>
                <w:tab w:val="clear" w:pos="720"/>
                <w:tab w:val="left" w:pos="-1440" w:leader="none"/>
                <w:tab w:val="left" w:pos="-720" w:leader="none"/>
              </w:tabs>
              <w:suppressAutoHyphens w:val="true"/>
              <w:snapToGrid w:val="false"/>
              <w:spacing w:before="90" w:after="0"/>
              <w:rPr/>
            </w:pPr>
            <w:r>
              <w:rPr/>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By:_________________________</w:t>
            </w:r>
          </w:p>
          <w:p>
            <w:pPr>
              <w:pStyle w:val="Normal"/>
              <w:keepNext w:val="true"/>
              <w:widowControl/>
              <w:tabs>
                <w:tab w:val="clear" w:pos="720"/>
                <w:tab w:val="left" w:pos="-1440" w:leader="none"/>
                <w:tab w:val="left" w:pos="-720" w:leader="none"/>
              </w:tabs>
              <w:suppressAutoHyphens w:val="true"/>
              <w:rPr/>
            </w:pPr>
            <w:r>
              <w:rPr/>
              <w:t xml:space="preserve">   </w:t>
            </w:r>
            <w:r>
              <w:rPr/>
              <w:t>Name:</w:t>
            </w:r>
          </w:p>
          <w:p>
            <w:pPr>
              <w:pStyle w:val="Normal"/>
              <w:keepNext w:val="true"/>
              <w:widowControl/>
              <w:tabs>
                <w:tab w:val="clear" w:pos="720"/>
                <w:tab w:val="left" w:pos="-1440" w:leader="none"/>
                <w:tab w:val="left" w:pos="-720" w:leader="none"/>
              </w:tabs>
              <w:suppressAutoHyphens w:val="true"/>
              <w:rPr/>
            </w:pPr>
            <w:r>
              <w:rPr/>
              <w:t xml:space="preserve">   </w:t>
            </w:r>
            <w:r>
              <w:rPr/>
              <w:t>Title:</w:t>
            </w:r>
          </w:p>
          <w:p>
            <w:pPr>
              <w:pStyle w:val="Normal"/>
              <w:keepNext w:val="true"/>
              <w:widowControl/>
              <w:tabs>
                <w:tab w:val="clear" w:pos="720"/>
                <w:tab w:val="left" w:pos="-1440" w:leader="none"/>
                <w:tab w:val="left" w:pos="-720" w:leader="none"/>
              </w:tabs>
              <w:suppressAutoHyphens w:val="true"/>
              <w:spacing w:before="0" w:after="54"/>
              <w:rPr/>
            </w:pPr>
            <w:r>
              <w:rPr/>
              <w:t xml:space="preserve">   </w:t>
            </w:r>
            <w:r>
              <w:rPr/>
              <w:t>Date:</w:t>
            </w:r>
          </w:p>
        </w:tc>
        <w:tc>
          <w:tcPr>
            <w:tcW w:w="696" w:type="dxa"/>
            <w:tcBorders/>
          </w:tcPr>
          <w:p>
            <w:pPr>
              <w:pStyle w:val="Normal"/>
              <w:keepNext w:val="true"/>
              <w:keepLines/>
              <w:widowControl/>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widowControl/>
              <w:tabs>
                <w:tab w:val="clear" w:pos="720"/>
                <w:tab w:val="left" w:pos="-1440" w:leader="none"/>
                <w:tab w:val="left" w:pos="-720" w:leader="none"/>
              </w:tabs>
              <w:suppressAutoHyphens w:val="true"/>
              <w:snapToGrid w:val="false"/>
              <w:spacing w:before="90" w:after="0"/>
              <w:rPr/>
            </w:pPr>
            <w:r>
              <w:rPr/>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By:_________________________</w:t>
            </w:r>
          </w:p>
          <w:p>
            <w:pPr>
              <w:pStyle w:val="Normal"/>
              <w:keepNext w:val="true"/>
              <w:widowControl/>
              <w:tabs>
                <w:tab w:val="clear" w:pos="720"/>
                <w:tab w:val="left" w:pos="-1440" w:leader="none"/>
                <w:tab w:val="left" w:pos="-720" w:leader="none"/>
              </w:tabs>
              <w:suppressAutoHyphens w:val="true"/>
              <w:rPr/>
            </w:pPr>
            <w:r>
              <w:rPr/>
              <w:t xml:space="preserve">   </w:t>
            </w:r>
            <w:r>
              <w:rPr/>
              <w:t>Name:</w:t>
            </w:r>
          </w:p>
          <w:p>
            <w:pPr>
              <w:pStyle w:val="Normal"/>
              <w:keepNext w:val="true"/>
              <w:widowControl/>
              <w:tabs>
                <w:tab w:val="clear" w:pos="720"/>
                <w:tab w:val="left" w:pos="-1440" w:leader="none"/>
                <w:tab w:val="left" w:pos="-720" w:leader="none"/>
              </w:tabs>
              <w:suppressAutoHyphens w:val="true"/>
              <w:rPr/>
            </w:pPr>
            <w:r>
              <w:rPr/>
              <w:t xml:space="preserve">   </w:t>
            </w:r>
            <w:r>
              <w:rPr/>
              <w:t>Title:</w:t>
            </w:r>
          </w:p>
          <w:p>
            <w:pPr>
              <w:pStyle w:val="Normal"/>
              <w:keepNext w:val="true"/>
              <w:widowControl/>
              <w:tabs>
                <w:tab w:val="clear" w:pos="720"/>
                <w:tab w:val="left" w:pos="-1440" w:leader="none"/>
                <w:tab w:val="left" w:pos="-720" w:leader="none"/>
              </w:tabs>
              <w:suppressAutoHyphens w:val="true"/>
              <w:spacing w:before="0" w:after="54"/>
              <w:rPr/>
            </w:pPr>
            <w:r>
              <w:rPr/>
              <w:t xml:space="preserve">   </w:t>
            </w:r>
            <w:r>
              <w:rPr/>
              <w:t>Date:</w:t>
            </w:r>
          </w:p>
        </w:tc>
      </w:tr>
    </w:tbl>
    <w:p>
      <w:pPr>
        <w:pStyle w:val="Normal"/>
        <w:widowControl/>
        <w:rPr/>
      </w:pPr>
      <w:r>
        <w:rPr/>
      </w:r>
    </w:p>
    <w:sectPr>
      <w:footerReference w:type="default" r:id="rId3"/>
      <w:footerReference w:type="first" r:id="rId4"/>
      <w:type w:val="nextPage"/>
      <w:pgSz w:w="12240" w:h="15840"/>
      <w:pgMar w:left="1800" w:right="1800" w:gutter="0" w:header="0" w:top="1440" w:footer="0" w:bottom="1440"/>
      <w:pgNumType w:start="1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NY3:#7250073v3</w:t>
    </w:r>
    <w:r>
      <w:rPr>
        <w:b/>
        <w:bCs/>
        <w:i/>
        <w:iCs/>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3"/>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sz w:val="24"/>
      <w:szCs w:val="24"/>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sz w:val="24"/>
      <w:szCs w:val="24"/>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z w:val="24"/>
      <w:szCs w:val="24"/>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z w:val="24"/>
      <w:szCs w:val="24"/>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z w:val="24"/>
      <w:szCs w:val="24"/>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z w:val="24"/>
      <w:szCs w:val="24"/>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z w:val="24"/>
      <w:szCs w:val="24"/>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z w:val="24"/>
      <w:szCs w:val="24"/>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b/>
      <w:bCs/>
      <w:i/>
      <w:iCs/>
      <w:sz w:val="16"/>
      <w:szCs w:val="16"/>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edParagraph">
    <w:name w:val="Indented Paragraph"/>
    <w:qFormat/>
    <w:pPr>
      <w:keepLines/>
      <w:widowControl w:val="false"/>
      <w:bidi w:val="0"/>
      <w:spacing w:lineRule="exact" w:line="240"/>
      <w:ind w:firstLine="720" w:start="0" w:end="0"/>
      <w:jc w:val="both"/>
    </w:pPr>
    <w:rPr>
      <w:rFonts w:ascii="Courier;Courier New" w:hAnsi="Courier;Courier New" w:eastAsia="Courier;Courier New" w:cs="Courier;Courier New"/>
      <w:color w:val="auto"/>
      <w:sz w:val="20"/>
      <w:szCs w:val="20"/>
      <w:lang w:val="en-US" w:eastAsia="zh-CN" w:bidi="hi-IN"/>
    </w:rPr>
  </w:style>
  <w:style w:type="paragraph" w:styleId="EndnoteText">
    <w:name w:val="endnote text"/>
    <w:basedOn w:val="Normal"/>
    <w:pPr/>
    <w:rPr>
      <w:rFonts w:ascii="Courier New" w:hAnsi="Courier New" w:eastAsia="Courier New" w:cs="Courier New"/>
      <w:sz w:val="24"/>
      <w:szCs w:val="24"/>
    </w:rPr>
  </w:style>
  <w:style w:type="paragraph" w:styleId="BodyText2">
    <w:name w:val="Body Text 2"/>
    <w:basedOn w:val="Normal"/>
    <w:qFormat/>
    <w:pPr>
      <w:tabs>
        <w:tab w:val="clear" w:pos="720"/>
        <w:tab w:val="left" w:pos="-720" w:leader="none"/>
      </w:tabs>
      <w:suppressAutoHyphens w:val="true"/>
      <w:ind w:hanging="1440" w:start="2160" w:end="0"/>
    </w:pPr>
    <w:rPr>
      <w:sz w:val="22"/>
      <w:szCs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szCs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szCs w:val="22"/>
    </w:rPr>
  </w:style>
  <w:style w:type="paragraph" w:styleId="FootnoteText">
    <w:name w:val="footnote text"/>
    <w:basedOn w:val="Normal"/>
    <w:pPr/>
    <w:rPr>
      <w:rFonts w:ascii="Courier New" w:hAnsi="Courier New" w:eastAsia="Courier New" w:cs="Courier New"/>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2000-08-25T07:41:00Z</dcterms:created>
  <dc:creator>RRichard</dc:creator>
  <dc:description/>
  <dc:language>en-CA</dc:language>
  <cp:lastModifiedBy>RRichard</cp:lastModifiedBy>
  <cp:lastPrinted>2000-08-24T19:08:00Z</cp:lastPrinted>
  <dcterms:modified xsi:type="dcterms:W3CDTF">2000-08-25T07:41:00Z</dcterms:modified>
  <cp:revision>2</cp:revision>
  <dc:subject/>
  <dc:title>Paragraph 13</dc:title>
</cp:coreProperties>
</file>