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emorandum"/>
        <w:numPr>
          <w:ilvl w:val="0"/>
          <w:numId w:val="0"/>
        </w:numPr>
        <w:spacing w:before="0" w:after="320"/>
        <w:outlineLvl w:val="0"/>
        <w:rPr/>
      </w:pPr>
      <w:r>
        <w:rPr/>
        <w:t>Memorandum</w:t>
      </w:r>
    </w:p>
    <w:tbl>
      <w:tblPr>
        <w:tblW w:w="9360" w:type="dxa"/>
        <w:jc w:val="start"/>
        <w:tblInd w:w="0" w:type="dxa"/>
        <w:tblLayout w:type="fixed"/>
        <w:tblCellMar>
          <w:top w:w="0" w:type="dxa"/>
          <w:start w:w="0" w:type="dxa"/>
          <w:bottom w:w="0" w:type="dxa"/>
          <w:end w:w="0" w:type="dxa"/>
        </w:tblCellMar>
      </w:tblPr>
      <w:tblGrid>
        <w:gridCol w:w="1440"/>
        <w:gridCol w:w="7920"/>
      </w:tblGrid>
      <w:tr>
        <w:trPr/>
        <w:tc>
          <w:tcPr>
            <w:tcW w:w="1440" w:type="dxa"/>
            <w:tcBorders/>
          </w:tcPr>
          <w:p>
            <w:pPr>
              <w:pStyle w:val="to"/>
              <w:rPr/>
            </w:pPr>
            <w:bookmarkStart w:id="0" w:name="to"/>
            <w:bookmarkEnd w:id="0"/>
            <w:r>
              <w:rPr/>
              <w:t>TO:</w:t>
            </w:r>
          </w:p>
        </w:tc>
        <w:tc>
          <w:tcPr>
            <w:tcW w:w="7920" w:type="dxa"/>
            <w:tcBorders/>
          </w:tcPr>
          <w:p>
            <w:pPr>
              <w:pStyle w:val="Normal"/>
              <w:rPr/>
            </w:pPr>
            <w:r>
              <w:rPr/>
              <w:t xml:space="preserve">Circuit Breaker Working </w:t>
            </w:r>
          </w:p>
        </w:tc>
      </w:tr>
      <w:tr>
        <w:trPr>
          <w:trHeight w:val="320" w:hRule="exact"/>
        </w:trPr>
        <w:tc>
          <w:tcPr>
            <w:tcW w:w="1440" w:type="dxa"/>
            <w:tcBorders/>
          </w:tcPr>
          <w:p>
            <w:pPr>
              <w:pStyle w:val="Normal"/>
              <w:snapToGrid w:val="false"/>
              <w:rPr>
                <w:caps/>
              </w:rPr>
            </w:pPr>
            <w:r>
              <w:rPr>
                <w:caps/>
              </w:rPr>
            </w:r>
          </w:p>
        </w:tc>
        <w:tc>
          <w:tcPr>
            <w:tcW w:w="7920" w:type="dxa"/>
            <w:tcBorders/>
          </w:tcPr>
          <w:p>
            <w:pPr>
              <w:pStyle w:val="Normal"/>
              <w:snapToGrid w:val="false"/>
              <w:rPr/>
            </w:pPr>
            <w:r>
              <w:rPr/>
            </w:r>
          </w:p>
        </w:tc>
      </w:tr>
      <w:tr>
        <w:trPr/>
        <w:tc>
          <w:tcPr>
            <w:tcW w:w="1440" w:type="dxa"/>
            <w:tcBorders/>
          </w:tcPr>
          <w:p>
            <w:pPr>
              <w:pStyle w:val="from"/>
              <w:rPr/>
            </w:pPr>
            <w:bookmarkStart w:id="1" w:name="from"/>
            <w:bookmarkEnd w:id="1"/>
            <w:r>
              <w:rPr/>
              <w:t>FROM:</w:t>
            </w:r>
          </w:p>
        </w:tc>
        <w:tc>
          <w:tcPr>
            <w:tcW w:w="7920" w:type="dxa"/>
            <w:tcBorders/>
          </w:tcPr>
          <w:p>
            <w:pPr>
              <w:pStyle w:val="Normal"/>
              <w:rPr/>
            </w:pPr>
            <w:r>
              <w:rPr/>
              <w:t>David Patton</w:t>
            </w:r>
          </w:p>
        </w:tc>
      </w:tr>
      <w:tr>
        <w:trPr>
          <w:trHeight w:val="320" w:hRule="exact"/>
        </w:trPr>
        <w:tc>
          <w:tcPr>
            <w:tcW w:w="1440" w:type="dxa"/>
            <w:tcBorders/>
          </w:tcPr>
          <w:p>
            <w:pPr>
              <w:pStyle w:val="Normal"/>
              <w:snapToGrid w:val="false"/>
              <w:rPr>
                <w:caps/>
              </w:rPr>
            </w:pPr>
            <w:r>
              <w:rPr>
                <w:caps/>
              </w:rPr>
            </w:r>
          </w:p>
        </w:tc>
        <w:tc>
          <w:tcPr>
            <w:tcW w:w="7920" w:type="dxa"/>
            <w:tcBorders/>
          </w:tcPr>
          <w:p>
            <w:pPr>
              <w:pStyle w:val="Normal"/>
              <w:snapToGrid w:val="false"/>
              <w:rPr/>
            </w:pPr>
            <w:r>
              <w:rPr/>
            </w:r>
          </w:p>
        </w:tc>
      </w:tr>
      <w:tr>
        <w:trPr/>
        <w:tc>
          <w:tcPr>
            <w:tcW w:w="1440" w:type="dxa"/>
            <w:tcBorders/>
          </w:tcPr>
          <w:p>
            <w:pPr>
              <w:pStyle w:val="date"/>
              <w:rPr/>
            </w:pPr>
            <w:r>
              <w:rPr/>
              <w:t>DATE:</w:t>
            </w:r>
          </w:p>
        </w:tc>
        <w:tc>
          <w:tcPr>
            <w:tcW w:w="7920" w:type="dxa"/>
            <w:tcBorders/>
          </w:tcPr>
          <w:p>
            <w:pPr>
              <w:pStyle w:val="Normal"/>
              <w:rPr/>
            </w:pPr>
            <w:bookmarkStart w:id="2" w:name="date"/>
            <w:bookmarkEnd w:id="2"/>
            <w:r>
              <w:rPr/>
              <w:t>November 12, 2000</w:t>
            </w:r>
          </w:p>
        </w:tc>
      </w:tr>
      <w:tr>
        <w:trPr>
          <w:trHeight w:val="320" w:hRule="exact"/>
        </w:trPr>
        <w:tc>
          <w:tcPr>
            <w:tcW w:w="1440" w:type="dxa"/>
            <w:tcBorders/>
          </w:tcPr>
          <w:p>
            <w:pPr>
              <w:pStyle w:val="Normal"/>
              <w:snapToGrid w:val="false"/>
              <w:rPr>
                <w:caps/>
              </w:rPr>
            </w:pPr>
            <w:r>
              <w:rPr>
                <w:caps/>
              </w:rPr>
            </w:r>
          </w:p>
        </w:tc>
        <w:tc>
          <w:tcPr>
            <w:tcW w:w="7920" w:type="dxa"/>
            <w:tcBorders/>
          </w:tcPr>
          <w:p>
            <w:pPr>
              <w:pStyle w:val="Normal"/>
              <w:snapToGrid w:val="false"/>
              <w:rPr/>
            </w:pPr>
            <w:r>
              <w:rPr/>
            </w:r>
          </w:p>
        </w:tc>
      </w:tr>
      <w:tr>
        <w:trPr/>
        <w:tc>
          <w:tcPr>
            <w:tcW w:w="1440" w:type="dxa"/>
            <w:tcBorders/>
          </w:tcPr>
          <w:p>
            <w:pPr>
              <w:pStyle w:val="re"/>
              <w:rPr/>
            </w:pPr>
            <w:bookmarkStart w:id="3" w:name="re"/>
            <w:bookmarkEnd w:id="3"/>
            <w:r>
              <w:rPr/>
              <w:t>RE:</w:t>
            </w:r>
          </w:p>
        </w:tc>
        <w:tc>
          <w:tcPr>
            <w:tcW w:w="7920" w:type="dxa"/>
            <w:tcBorders/>
          </w:tcPr>
          <w:p>
            <w:pPr>
              <w:pStyle w:val="Normal"/>
              <w:rPr/>
            </w:pPr>
            <w:r>
              <w:rPr/>
              <w:t>Circuit-breaker Proposal</w:t>
            </w:r>
          </w:p>
        </w:tc>
      </w:tr>
      <w:tr>
        <w:trPr>
          <w:trHeight w:val="320" w:hRule="exact"/>
        </w:trPr>
        <w:tc>
          <w:tcPr>
            <w:tcW w:w="1440" w:type="dxa"/>
            <w:tcBorders>
              <w:bottom w:val="single" w:sz="12" w:space="0" w:color="000000"/>
            </w:tcBorders>
          </w:tcPr>
          <w:p>
            <w:pPr>
              <w:pStyle w:val="Normal"/>
              <w:snapToGrid w:val="false"/>
              <w:rPr>
                <w:caps/>
              </w:rPr>
            </w:pPr>
            <w:r>
              <w:rPr>
                <w:caps/>
              </w:rPr>
            </w:r>
          </w:p>
        </w:tc>
        <w:tc>
          <w:tcPr>
            <w:tcW w:w="7920" w:type="dxa"/>
            <w:tcBorders>
              <w:bottom w:val="single" w:sz="12" w:space="0" w:color="000000"/>
            </w:tcBorders>
          </w:tcPr>
          <w:p>
            <w:pPr>
              <w:pStyle w:val="Normal"/>
              <w:snapToGrid w:val="false"/>
              <w:rPr/>
            </w:pPr>
            <w:r>
              <w:rPr/>
            </w:r>
          </w:p>
        </w:tc>
      </w:tr>
      <w:tr>
        <w:trPr>
          <w:trHeight w:val="320" w:hRule="exact"/>
        </w:trPr>
        <w:tc>
          <w:tcPr>
            <w:tcW w:w="1440" w:type="dxa"/>
            <w:tcBorders/>
          </w:tcPr>
          <w:p>
            <w:pPr>
              <w:pStyle w:val="Normal"/>
              <w:snapToGrid w:val="false"/>
              <w:rPr>
                <w:caps/>
              </w:rPr>
            </w:pPr>
            <w:r>
              <w:rPr>
                <w:caps/>
              </w:rPr>
            </w:r>
          </w:p>
        </w:tc>
        <w:tc>
          <w:tcPr>
            <w:tcW w:w="7920" w:type="dxa"/>
            <w:tcBorders/>
          </w:tcPr>
          <w:p>
            <w:pPr>
              <w:pStyle w:val="Normal"/>
              <w:snapToGrid w:val="false"/>
              <w:rPr/>
            </w:pPr>
            <w:r>
              <w:rPr/>
            </w:r>
          </w:p>
        </w:tc>
      </w:tr>
    </w:tbl>
    <w:p>
      <w:pPr>
        <w:pStyle w:val="bodytext1"/>
        <w:spacing w:lineRule="atLeast" w:line="240" w:before="240" w:after="0"/>
        <w:ind w:hanging="0" w:end="0"/>
        <w:rPr/>
      </w:pPr>
      <w:bookmarkStart w:id="4" w:name="body"/>
      <w:bookmarkEnd w:id="4"/>
      <w:r>
        <w:rPr/>
        <w:t>This memo provides a preliminary description a circuit-breaker that should reduce the need for bid caps in the New York markets.  As we have discussed previously, the market is the most susceptible to an exercise of market power when 1) a transmission constraint binds that isolates a small number of generators (or single generator), or 2) loads approach peak levels so that the generation held by relatively large suppliers becomes must-run (i.e., they become monopolists over the residual demand that cannot be served by other generators that are operating at full output).</w:t>
      </w:r>
    </w:p>
    <w:p>
      <w:pPr>
        <w:pStyle w:val="bodytext1"/>
        <w:tabs>
          <w:tab w:val="clear" w:pos="720"/>
          <w:tab w:val="left" w:pos="5040" w:leader="none"/>
        </w:tabs>
        <w:spacing w:lineRule="atLeast" w:line="240" w:before="240" w:after="0"/>
        <w:ind w:hanging="0" w:end="0"/>
        <w:rPr/>
      </w:pPr>
      <w:r>
        <w:rPr/>
        <w:t>The existing mitigation measures address both of these circumstances by precluding the generators with market power from withholding their supply to raise prices. The default bid measure, in particular, is effective in addressing economic withholding by allowing the NYISO to set a generating units’ bid to its reference level (average accepted bid during comparable periods over the prior 90 days).  The default bid may be imposed when a) a generator raises its bid price for a resource by 300 percent or $100 per MWH, and b) the conduct causes a 200 percent or $100 price increase.  However, there is generally a one day lag in its implementation to allow for the price effect analysis.</w:t>
      </w:r>
    </w:p>
    <w:p>
      <w:pPr>
        <w:pStyle w:val="bodytext1"/>
        <w:spacing w:lineRule="atLeast" w:line="240" w:before="240" w:after="0"/>
        <w:ind w:hanging="0" w:end="0"/>
        <w:rPr>
          <w:b/>
        </w:rPr>
      </w:pPr>
      <w:r>
        <w:rPr>
          <w:b/>
        </w:rPr>
        <w:t>Description of the Proposal</w:t>
      </w:r>
    </w:p>
    <w:p>
      <w:pPr>
        <w:pStyle w:val="bodytext1"/>
        <w:spacing w:lineRule="atLeast" w:line="240" w:before="240" w:after="0"/>
        <w:ind w:hanging="0" w:end="0"/>
        <w:rPr/>
      </w:pPr>
      <w:r>
        <w:rPr/>
        <w:t xml:space="preserve">Given the shape of the supply curve, conditions under which withholding will have a substantial effect on prices can be forecasted before day-ahead prices are posted (i.e., when prices are determined on the steep portion of the supply curve).  Therefore, a circuit-breaker can be designed to determine whether any supplier is large enough to cause prices to clear in the steep portion of the supply curve by withholding.  Essentially, a forecast of the system conditions would replace the price effect analysis (i.e., allowing the NYISO to presume a price effect for certain generators that withhold). </w:t>
      </w:r>
    </w:p>
    <w:p>
      <w:pPr>
        <w:pStyle w:val="bodytext1"/>
        <w:spacing w:lineRule="atLeast" w:line="240" w:before="240" w:after="0"/>
        <w:ind w:hanging="0" w:end="0"/>
        <w:rPr/>
      </w:pPr>
      <w:r>
        <w:rPr/>
        <w:t>In order to forecast the relevant conditions, I have proposed using a measure of excess capacity. When excess capacity in a geographic market is very low, suppliers with more resources than the excess capacity level can drive market prices to scarcity levels by withholding an amount of capacity close to the market’s excess capacity.  In other words, such suppliers may be considered monopolists over some portion of the market’s demand send all other supplies can be fully utilized and the large supplier’s resources will still be needed.  Therefore, the default bid would be automatically imposed when:</w:t>
      </w:r>
    </w:p>
    <w:p>
      <w:pPr>
        <w:pStyle w:val="bodytext1"/>
        <w:spacing w:lineRule="atLeast" w:line="240" w:before="240" w:after="0"/>
        <w:ind w:hanging="864" w:start="1440" w:end="0"/>
        <w:rPr/>
      </w:pPr>
      <w:r>
        <w:rPr/>
        <w:t>1)</w:t>
        <w:tab/>
        <w:t>a supplier that has more generation than the excess capacity forecasted for the market; and</w:t>
      </w:r>
    </w:p>
    <w:p>
      <w:pPr>
        <w:pStyle w:val="bodytext1"/>
        <w:spacing w:lineRule="atLeast" w:line="240" w:before="240" w:after="0"/>
        <w:ind w:hanging="864" w:start="1440" w:end="0"/>
        <w:rPr/>
      </w:pPr>
      <w:r>
        <w:rPr/>
        <w:t>2)</w:t>
        <w:tab/>
        <w:t>the supplier has withheld enough capacity to cause the market to clear at scarcity price levels;</w:t>
      </w:r>
    </w:p>
    <w:p>
      <w:pPr>
        <w:pStyle w:val="bodytext1"/>
        <w:spacing w:lineRule="atLeast" w:line="240" w:before="240" w:after="0"/>
        <w:ind w:hanging="0" w:end="0"/>
        <w:rPr/>
      </w:pPr>
      <w:r>
        <w:rPr/>
        <w:t>The excess capacity could be calculated as follows:</w:t>
      </w:r>
    </w:p>
    <w:p>
      <w:pPr>
        <w:pStyle w:val="bodytext1"/>
        <w:spacing w:lineRule="atLeast" w:line="240" w:before="120" w:after="0"/>
        <w:ind w:hanging="0" w:start="720" w:end="0"/>
        <w:rPr/>
      </w:pPr>
      <w:r>
        <w:rPr/>
        <w:t xml:space="preserve">the total rated capacity level (accounting for deratings and outages) </w:t>
      </w:r>
    </w:p>
    <w:p>
      <w:pPr>
        <w:pStyle w:val="bodytext1"/>
        <w:spacing w:lineRule="atLeast" w:line="240" w:before="120" w:after="0"/>
        <w:ind w:firstLine="720" w:end="0"/>
        <w:rPr/>
      </w:pPr>
      <w:r>
        <w:rPr/>
        <w:t xml:space="preserve">+  import capability or available imports </w:t>
      </w:r>
    </w:p>
    <w:p>
      <w:pPr>
        <w:pStyle w:val="bodytext1"/>
        <w:spacing w:lineRule="atLeast" w:line="240" w:before="120" w:after="0"/>
        <w:ind w:firstLine="720" w:end="0"/>
        <w:rPr/>
      </w:pPr>
      <w:r>
        <w:rPr>
          <w:rFonts w:eastAsia="Symbol" w:cs="Symbol" w:ascii="Symbol" w:hAnsi="Symbol"/>
        </w:rPr>
        <w:sym w:font="Symbol" w:char="f02d"/>
      </w:r>
      <w:r>
        <w:rPr/>
        <w:t xml:space="preserve">  </w:t>
      </w:r>
      <w:r>
        <w:rPr/>
        <w:t xml:space="preserve">the bid-in load </w:t>
      </w:r>
    </w:p>
    <w:p>
      <w:pPr>
        <w:pStyle w:val="bodytext1"/>
        <w:spacing w:lineRule="atLeast" w:line="240" w:before="120" w:after="0"/>
        <w:ind w:firstLine="720" w:end="0"/>
        <w:rPr/>
      </w:pPr>
      <w:r>
        <w:rPr>
          <w:rFonts w:eastAsia="Symbol" w:cs="Symbol" w:ascii="Symbol" w:hAnsi="Symbol"/>
          <w:u w:val="single"/>
        </w:rPr>
        <w:sym w:font="Symbol" w:char="f02d"/>
      </w:r>
      <w:r>
        <w:rPr>
          <w:u w:val="single"/>
        </w:rPr>
        <w:t xml:space="preserve">  </w:t>
      </w:r>
      <w:r>
        <w:rPr>
          <w:u w:val="single"/>
        </w:rPr>
        <w:t>ancillary services requirements</w:t>
        <w:tab/>
        <w:tab/>
        <w:tab/>
        <w:t xml:space="preserve"> </w:t>
      </w:r>
    </w:p>
    <w:p>
      <w:pPr>
        <w:pStyle w:val="bodytext1"/>
        <w:spacing w:lineRule="atLeast" w:line="240" w:before="240" w:after="0"/>
        <w:ind w:hanging="0" w:end="0"/>
        <w:rPr/>
      </w:pPr>
      <w:r>
        <w:rPr/>
        <w:tab/>
        <w:t xml:space="preserve">=  excess capacity </w:t>
        <w:tab/>
      </w:r>
    </w:p>
    <w:p>
      <w:pPr>
        <w:pStyle w:val="bodytext1"/>
        <w:spacing w:lineRule="atLeast" w:line="240" w:before="240" w:after="0"/>
        <w:ind w:hanging="0" w:end="0"/>
        <w:rPr/>
      </w:pPr>
      <w:r>
        <w:rPr/>
        <w:t>We have not resolved how import capability should be reflected in this calculation, but one proposal is to include the maximum import capability for the hour whether or not offers exist to utilize the capability.  In addition, the excess capacity may need to account for capacity that is essentially derated by virtue of their bid.  In other words, the steep portion of the supply curve may include a substantial amount of capacity at levels many times expected market price.</w:t>
      </w:r>
    </w:p>
    <w:p>
      <w:pPr>
        <w:pStyle w:val="bodytext1"/>
        <w:spacing w:lineRule="atLeast" w:line="240" w:before="240" w:after="0"/>
        <w:ind w:hanging="0" w:end="0"/>
        <w:rPr/>
      </w:pPr>
      <w:r>
        <w:rPr/>
        <w:t>The excess capacity index should be computed for the entire State as well as for the area east of Central-East given the frequency with which this constraint is binding.  When the supplier’s capability is compared to the excess capacity measure, only the resources within the relevant area should be included (i.e., capacity in the east for the excess capacity comparison for the east).</w:t>
      </w:r>
    </w:p>
    <w:p>
      <w:pPr>
        <w:pStyle w:val="bodytext1"/>
        <w:spacing w:lineRule="atLeast" w:line="240" w:before="240" w:after="0"/>
        <w:ind w:hanging="0" w:end="0"/>
        <w:rPr/>
      </w:pPr>
      <w:r>
        <w:rPr/>
        <w:t>The advantages of this proposal include the following:</w:t>
      </w:r>
    </w:p>
    <w:p>
      <w:pPr>
        <w:pStyle w:val="bodytext1"/>
        <w:numPr>
          <w:ilvl w:val="0"/>
          <w:numId w:val="2"/>
        </w:numPr>
        <w:spacing w:lineRule="atLeast" w:line="240" w:before="240" w:after="0"/>
        <w:rPr/>
      </w:pPr>
      <w:r>
        <w:rPr/>
        <w:t>No automatic mitigation would apply during the vast majority of hours;</w:t>
      </w:r>
    </w:p>
    <w:p>
      <w:pPr>
        <w:pStyle w:val="bodytext1"/>
        <w:numPr>
          <w:ilvl w:val="0"/>
          <w:numId w:val="2"/>
        </w:numPr>
        <w:spacing w:lineRule="atLeast" w:line="240" w:before="240" w:after="0"/>
        <w:rPr/>
      </w:pPr>
      <w:r>
        <w:rPr/>
        <w:t>Only suppliers with market power will be mitigated – small suppliers will generally not be mitigated;</w:t>
      </w:r>
    </w:p>
    <w:p>
      <w:pPr>
        <w:pStyle w:val="bodytext1"/>
        <w:numPr>
          <w:ilvl w:val="0"/>
          <w:numId w:val="2"/>
        </w:numPr>
        <w:spacing w:lineRule="atLeast" w:line="240" w:before="240" w:after="0"/>
        <w:rPr/>
      </w:pPr>
      <w:r>
        <w:rPr/>
        <w:t>The circuit breaker will phase-in as system conditions become increasingly tight and excess capacity is reduced rather than being applied in an all or nothing fashion.</w:t>
      </w:r>
    </w:p>
    <w:p>
      <w:pPr>
        <w:pStyle w:val="bodytext1"/>
        <w:spacing w:lineRule="atLeast" w:line="240" w:before="240" w:after="0"/>
        <w:ind w:hanging="0" w:end="0"/>
        <w:rPr>
          <w:b/>
        </w:rPr>
      </w:pPr>
      <w:r>
        <w:rPr>
          <w:b/>
        </w:rPr>
        <w:t>Remaining Issues</w:t>
      </w:r>
    </w:p>
    <w:p>
      <w:pPr>
        <w:pStyle w:val="bodytext1"/>
        <w:spacing w:lineRule="atLeast" w:line="240" w:before="240" w:after="0"/>
        <w:ind w:hanging="0" w:end="0"/>
        <w:rPr/>
      </w:pPr>
      <w:r>
        <w:rPr/>
        <w:t>As described above, some issues regarding the calculation of the excess capacity measure needs to be settled.  In addition, some concerns have been raised regarding the reference prices that would be used to detect economic withholding and serve as the basis for the default bid.  In particular, some amount of resources may not have a reference price because they have not been scheduled in the prior 90 days.  Most of these resources are small blocks of output at the top end of the dispatch curve of units that have been scheduled, rather than entire units.  In any case, this proposal would not automatically mitigate any resources that lack a reference price since they would not exceed the economic withholding screen.</w:t>
      </w:r>
    </w:p>
    <w:p>
      <w:pPr>
        <w:pStyle w:val="bodytext1"/>
        <w:spacing w:lineRule="atLeast" w:line="240" w:before="240" w:after="0"/>
        <w:ind w:hanging="0" w:end="0"/>
        <w:rPr/>
      </w:pPr>
      <w:r>
        <w:rPr/>
        <w:t xml:space="preserve">However, if the NYISO becomes concerned about some blocks of output that do not have reference prices, they have alternative means of developing a reference price as described in the mitigation plan.  For a  resource that was not scheduled during the 90 day period, the next alternative listed is to use a reference price set at: </w:t>
      </w:r>
    </w:p>
    <w:p>
      <w:pPr>
        <w:pStyle w:val="bodytext1"/>
        <w:spacing w:lineRule="atLeast" w:line="240" w:before="120" w:after="0"/>
        <w:ind w:hanging="0" w:start="720" w:end="720"/>
        <w:rPr/>
      </w:pPr>
      <w:r>
        <w:rPr/>
        <w:t>“</w:t>
      </w:r>
      <w:r>
        <w:rPr/>
        <w:t>A level negotiated with the Market Party submitting the bid or bids at issue, provided such a level has been negotiated prior to the occurrence of the conduct being examined by the NYISO.” (See Mitigation Plan, section 3.1.4.(a))</w:t>
      </w:r>
    </w:p>
    <w:p>
      <w:pPr>
        <w:pStyle w:val="bodytext1"/>
        <w:spacing w:lineRule="atLeast" w:line="240" w:before="240" w:after="0"/>
        <w:ind w:hanging="0" w:end="720"/>
        <w:rPr/>
      </w:pPr>
      <w:r>
        <w:rPr/>
        <w:t>Lastly, the group should be discussed whether and how this circuit breaker should be applied to the real-time market.  For example, we would need to determine whether it should be implemented through the BME process or the SCD process.</w:t>
      </w:r>
    </w:p>
    <w:p>
      <w:pPr>
        <w:pStyle w:val="bodytext1"/>
        <w:spacing w:lineRule="atLeast" w:line="240" w:before="240" w:after="0"/>
        <w:ind w:hanging="0" w:end="720"/>
        <w:rPr>
          <w:b/>
        </w:rPr>
      </w:pPr>
      <w:r>
        <w:rPr>
          <w:b/>
        </w:rPr>
        <w:t>Analyzing the Proposal</w:t>
      </w:r>
    </w:p>
    <w:p>
      <w:pPr>
        <w:pStyle w:val="bodytext1"/>
        <w:spacing w:lineRule="atLeast" w:line="240" w:before="240" w:after="0"/>
        <w:ind w:hanging="0" w:end="720"/>
        <w:rPr/>
      </w:pPr>
      <w:r>
        <w:rPr/>
        <w:t>This proposal should not be difficult to analyze since all of the data to compute the excess capacity measures is readily available and since the reference prices for each unit have already been computed back to the beginning of the NYISO markets.  Therefore, we have the ability to examine alternative analytic methods to determine when the circuit-breaker would have mitigated bids over the past year.  Determining what the mitigated price would have been during those periods may be more difficult because this would require SCUC modeling – however, this may not be necessary.</w:t>
      </w:r>
    </w:p>
    <w:p>
      <w:pPr>
        <w:pStyle w:val="bodytext1"/>
        <w:spacing w:lineRule="atLeast" w:line="240" w:before="240" w:after="0"/>
        <w:ind w:hanging="0" w:end="0"/>
        <w:rPr/>
      </w:pPr>
      <w:r>
        <w:rPr/>
        <w:t>If you all have any clarifying questions about the proposal that I don’t address in this memo, please send me an e-mail message if a response would be helpful prior to our conference call on Tuesday.</w:t>
      </w:r>
    </w:p>
    <w:p>
      <w:pPr>
        <w:pStyle w:val="bodytext1"/>
        <w:spacing w:lineRule="atLeast" w:line="240" w:before="120" w:after="0"/>
        <w:ind w:hanging="0" w:end="0"/>
        <w:jc w:val="center"/>
        <w:rPr/>
      </w:pPr>
      <w:r>
        <w:rPr/>
        <w:t>DBP</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jc w:val="en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r>
      <w:rPr/>
      <w:t>–</w:t>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4500"/>
      <w:gridCol w:w="4860"/>
    </w:tblGrid>
    <w:tr>
      <w:trPr/>
      <w:tc>
        <w:tcPr>
          <w:tcW w:w="4500" w:type="dxa"/>
          <w:tcBorders/>
        </w:tcPr>
        <w:p>
          <w:pPr>
            <w:pStyle w:val="Header"/>
            <w:rPr/>
          </w:pPr>
          <w:r>
            <w:rPr/>
            <w:drawing>
              <wp:inline distT="0" distB="0" distL="0" distR="0">
                <wp:extent cx="1409700" cy="3556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4" t="-16" r="-4" b="-16"/>
                        <a:stretch>
                          <a:fillRect/>
                        </a:stretch>
                      </pic:blipFill>
                      <pic:spPr bwMode="auto">
                        <a:xfrm>
                          <a:off x="0" y="0"/>
                          <a:ext cx="1409700" cy="355600"/>
                        </a:xfrm>
                        <a:prstGeom prst="rect">
                          <a:avLst/>
                        </a:prstGeom>
                        <a:noFill/>
                      </pic:spPr>
                    </pic:pic>
                  </a:graphicData>
                </a:graphic>
              </wp:inline>
            </w:drawing>
          </w:r>
        </w:p>
      </w:tc>
      <w:tc>
        <w:tcPr>
          <w:tcW w:w="4860" w:type="dxa"/>
          <w:tcBorders/>
        </w:tcPr>
        <w:p>
          <w:pPr>
            <w:pStyle w:val="Normal"/>
            <w:jc w:val="end"/>
            <w:rPr>
              <w:b/>
              <w:u w:val="single"/>
            </w:rPr>
          </w:pPr>
          <w:r>
            <w:rPr>
              <w:b/>
              <w:u w:val="single"/>
            </w:rPr>
            <w:t>CONFIDENTIAL</w:t>
          </w:r>
        </w:p>
        <w:p>
          <w:pPr>
            <w:pStyle w:val="Normal"/>
            <w:jc w:val="end"/>
            <w:rPr>
              <w:b/>
              <w:u w:val="single"/>
            </w:rPr>
          </w:pPr>
          <w:r>
            <w:rPr>
              <w:b/>
              <w:u w:val="single"/>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1440"/>
        </w:tabs>
        <w:ind w:start="1440" w:hanging="720"/>
      </w:pPr>
    </w:lvl>
    <w:lvl w:ilvl="1">
      <w:start w:val="1"/>
      <w:pStyle w:val="Heading2"/>
      <w:numFmt w:val="upperLetter"/>
      <w:lvlText w:val="%2."/>
      <w:lvlJc w:val="start"/>
      <w:pPr>
        <w:tabs>
          <w:tab w:val="num" w:pos="2160"/>
        </w:tabs>
        <w:ind w:start="2160" w:hanging="720"/>
      </w:pPr>
    </w:lvl>
    <w:lvl w:ilvl="2">
      <w:start w:val="1"/>
      <w:pStyle w:val="Heading3"/>
      <w:numFmt w:val="decimal"/>
      <w:lvlText w:val="%3."/>
      <w:lvlJc w:val="start"/>
      <w:pPr>
        <w:tabs>
          <w:tab w:val="num" w:pos="2880"/>
        </w:tabs>
        <w:ind w:start="2880" w:hanging="720"/>
      </w:pPr>
    </w:lvl>
    <w:lvl w:ilvl="3">
      <w:start w:val="1"/>
      <w:pStyle w:val="Heading4"/>
      <w:numFmt w:val="lowerLetter"/>
      <w:lvlText w:val="%4."/>
      <w:lvlJc w:val="start"/>
      <w:pPr>
        <w:tabs>
          <w:tab w:val="num" w:pos="3600"/>
        </w:tabs>
        <w:ind w:start="3600" w:hanging="720"/>
      </w:pPr>
    </w:lvl>
    <w:lvl w:ilvl="4">
      <w:start w:val="1"/>
      <w:pStyle w:val="Heading5"/>
      <w:numFmt w:val="decimal"/>
      <w:lvlText w:val="(%5)"/>
      <w:lvlJc w:val="start"/>
      <w:pPr>
        <w:tabs>
          <w:tab w:val="num" w:pos="4320"/>
        </w:tabs>
        <w:ind w:start="4320" w:hanging="720"/>
      </w:pPr>
    </w:lvl>
    <w:lvl w:ilvl="5">
      <w:start w:val="1"/>
      <w:pStyle w:val="Heading6"/>
      <w:numFmt w:val="lowerLetter"/>
      <w:lvlText w:val="(%6)"/>
      <w:lvlJc w:val="start"/>
      <w:pPr>
        <w:tabs>
          <w:tab w:val="num" w:pos="5040"/>
        </w:tabs>
        <w:ind w:start="5040" w:hanging="720"/>
      </w:pPr>
    </w:lvl>
    <w:lvl w:ilvl="6">
      <w:start w:val="1"/>
      <w:pStyle w:val="Heading7"/>
      <w:numFmt w:val="lowerRoman"/>
      <w:lvlText w:val="%7)"/>
      <w:lvlJc w:val="start"/>
      <w:pPr>
        <w:tabs>
          <w:tab w:val="num" w:pos="5760"/>
        </w:tabs>
        <w:ind w:start="5760" w:hanging="720"/>
      </w:pPr>
    </w:lvl>
    <w:lvl w:ilvl="7">
      <w:start w:val="1"/>
      <w:pStyle w:val="Heading8"/>
      <w:numFmt w:val="lowerLetter"/>
      <w:lvlText w:val="%8)"/>
      <w:lvlJc w:val="start"/>
      <w:pPr>
        <w:tabs>
          <w:tab w:val="num" w:pos="6480"/>
        </w:tabs>
        <w:ind w:start="6480" w:hanging="72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76"/>
        </w:tabs>
        <w:ind w:start="576" w:hanging="576"/>
      </w:pPr>
      <w:rPr>
        <w:rFonts w:ascii="Symbol" w:hAnsi="Symbol" w:cs="Symbol" w:hint="default"/>
      </w:rPr>
    </w:lvl>
  </w:abstractNum>
  <w:abstractNum w:abstractNumId="3">
    <w:lvl w:ilvl="0">
      <w:start w:val="1"/>
      <w:numFmt w:val="bullet"/>
      <w:lvlText w:val=""/>
      <w:lvlJc w:val="start"/>
      <w:pPr>
        <w:tabs>
          <w:tab w:val="num" w:pos="0"/>
        </w:tabs>
        <w:ind w:start="0" w:hanging="0"/>
      </w:pPr>
      <w:rPr>
        <w:rFonts w:ascii="Symbol" w:hAnsi="Symbol" w:cs="Symbol" w:hint="default"/>
        <w:color w:val="auto"/>
      </w:rPr>
    </w:lvl>
  </w:abstractNum>
  <w:abstractNum w:abstractNumId="4">
    <w:lvl w:ilvl="0">
      <w:start w:val="1"/>
      <w:numFmt w:val="bullet"/>
      <w:lvlText w:val=""/>
      <w:lvlJc w:val="start"/>
      <w:pPr>
        <w:tabs>
          <w:tab w:val="num" w:pos="0"/>
        </w:tabs>
        <w:ind w:start="0" w:hanging="0"/>
      </w:pPr>
      <w:rPr>
        <w:rFonts w:ascii="Symbol" w:hAnsi="Symbol" w:cs="Symbol" w:hint="default"/>
        <w:color w:val="auto"/>
      </w:r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2"/>
  <w:defaultTabStop w:val="720"/>
  <w:autoHyphenation w:val="true"/>
  <w:hyphenationZone w:val="0"/>
  <w:compat>
    <w:noLeading/>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pPr>
    <w:rPr>
      <w:rFonts w:ascii="Times New Roman" w:hAnsi="Times New Roman" w:eastAsia="Times New Roman" w:cs="Times New Roman"/>
      <w:color w:val="auto"/>
      <w:sz w:val="24"/>
      <w:szCs w:val="20"/>
      <w:lang w:val="en-US" w:eastAsia="zh-CN" w:bidi="hi-IN"/>
    </w:rPr>
  </w:style>
  <w:style w:type="paragraph" w:styleId="Heading1">
    <w:name w:val="heading 1"/>
    <w:basedOn w:val="baseheading"/>
    <w:next w:val="bodytext1"/>
    <w:qFormat/>
    <w:pPr>
      <w:numPr>
        <w:ilvl w:val="0"/>
        <w:numId w:val="1"/>
      </w:numPr>
      <w:outlineLvl w:val="0"/>
    </w:pPr>
    <w:rPr>
      <w:caps/>
    </w:rPr>
  </w:style>
  <w:style w:type="paragraph" w:styleId="Heading2">
    <w:name w:val="heading 2"/>
    <w:basedOn w:val="baseheading"/>
    <w:next w:val="bodytext1"/>
    <w:qFormat/>
    <w:pPr>
      <w:numPr>
        <w:ilvl w:val="1"/>
        <w:numId w:val="1"/>
      </w:numPr>
      <w:outlineLvl w:val="1"/>
    </w:pPr>
    <w:rPr/>
  </w:style>
  <w:style w:type="paragraph" w:styleId="Heading3">
    <w:name w:val="heading 3"/>
    <w:basedOn w:val="baseheading"/>
    <w:next w:val="bodytext1"/>
    <w:qFormat/>
    <w:pPr>
      <w:numPr>
        <w:ilvl w:val="2"/>
        <w:numId w:val="1"/>
      </w:numPr>
      <w:outlineLvl w:val="2"/>
    </w:pPr>
    <w:rPr/>
  </w:style>
  <w:style w:type="paragraph" w:styleId="Heading4">
    <w:name w:val="heading 4"/>
    <w:basedOn w:val="baseheading"/>
    <w:next w:val="bodytext1"/>
    <w:qFormat/>
    <w:pPr>
      <w:numPr>
        <w:ilvl w:val="3"/>
        <w:numId w:val="1"/>
      </w:numPr>
      <w:outlineLvl w:val="3"/>
    </w:pPr>
    <w:rPr/>
  </w:style>
  <w:style w:type="paragraph" w:styleId="Heading5">
    <w:name w:val="heading 5"/>
    <w:basedOn w:val="baseheading"/>
    <w:next w:val="bodytext1"/>
    <w:qFormat/>
    <w:pPr>
      <w:numPr>
        <w:ilvl w:val="4"/>
        <w:numId w:val="1"/>
      </w:numPr>
      <w:outlineLvl w:val="4"/>
    </w:pPr>
    <w:rPr/>
  </w:style>
  <w:style w:type="paragraph" w:styleId="Heading6">
    <w:name w:val="heading 6"/>
    <w:basedOn w:val="baseheading"/>
    <w:next w:val="bodytext1"/>
    <w:qFormat/>
    <w:pPr>
      <w:numPr>
        <w:ilvl w:val="5"/>
        <w:numId w:val="1"/>
      </w:numPr>
      <w:outlineLvl w:val="5"/>
    </w:pPr>
    <w:rPr/>
  </w:style>
  <w:style w:type="paragraph" w:styleId="Heading7">
    <w:name w:val="heading 7"/>
    <w:basedOn w:val="baseheading"/>
    <w:next w:val="bodytext1"/>
    <w:qFormat/>
    <w:pPr>
      <w:numPr>
        <w:ilvl w:val="6"/>
        <w:numId w:val="1"/>
      </w:numPr>
      <w:outlineLvl w:val="6"/>
    </w:pPr>
    <w:rPr/>
  </w:style>
  <w:style w:type="paragraph" w:styleId="Heading8">
    <w:name w:val="heading 8"/>
    <w:basedOn w:val="baseheading"/>
    <w:next w:val="bodytext1"/>
    <w:qFormat/>
    <w:pPr>
      <w:numPr>
        <w:ilvl w:val="7"/>
        <w:numId w:val="1"/>
      </w:numPr>
      <w:outlineLvl w:val="7"/>
    </w:pPr>
    <w:rPr/>
  </w:style>
  <w:style w:type="paragraph" w:styleId="Heading9">
    <w:name w:val="heading 9"/>
    <w:basedOn w:val="baseheading"/>
    <w:next w:val="bodytext1"/>
    <w:qFormat/>
    <w:pPr>
      <w:numPr>
        <w:ilvl w:val="8"/>
        <w:numId w:val="1"/>
      </w:numPr>
      <w:tabs>
        <w:tab w:val="clear" w:pos="8640"/>
      </w:tabs>
      <w:ind w:hanging="0" w:start="0" w:end="0"/>
      <w:jc w:val="center"/>
      <w:outlineLvl w:val="8"/>
    </w:pPr>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8"/>
      <w:vertAlign w:val="superscript"/>
    </w:rPr>
  </w:style>
  <w:style w:type="character" w:styleId="EndnoteCharacters">
    <w:name w:val="Endnote Characters"/>
    <w:basedOn w:val="DefaultParagraphFont"/>
    <w:qFormat/>
    <w:rPr>
      <w:sz w:val="18"/>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aseheading">
    <w:name w:val="base heading"/>
    <w:basedOn w:val="Normal"/>
    <w:qFormat/>
    <w:pPr>
      <w:keepNext w:val="true"/>
      <w:keepLines/>
      <w:tabs>
        <w:tab w:val="clear" w:pos="720"/>
        <w:tab w:val="left" w:pos="8640" w:leader="none"/>
      </w:tabs>
      <w:spacing w:lineRule="atLeast" w:line="240" w:before="360" w:after="0"/>
      <w:ind w:hanging="0" w:start="0" w:end="720"/>
    </w:pPr>
    <w:rPr>
      <w:b/>
    </w:rPr>
  </w:style>
  <w:style w:type="paragraph" w:styleId="basetoc">
    <w:name w:val="base toc"/>
    <w:basedOn w:val="Normal"/>
    <w:qFormat/>
    <w:pPr>
      <w:tabs>
        <w:tab w:val="clear" w:pos="720"/>
        <w:tab w:val="right" w:pos="9360" w:leader="dot"/>
      </w:tabs>
      <w:spacing w:lineRule="atLeast" w:line="240" w:before="240" w:after="0"/>
      <w:ind w:hanging="720" w:start="720" w:end="1440"/>
    </w:pPr>
    <w:rPr/>
  </w:style>
  <w:style w:type="paragraph" w:styleId="TOC6">
    <w:name w:val="toc 6"/>
    <w:basedOn w:val="basetoc"/>
    <w:next w:val="Normal"/>
    <w:pPr>
      <w:ind w:hanging="720" w:start="4320" w:end="1440"/>
    </w:pPr>
    <w:rPr/>
  </w:style>
  <w:style w:type="paragraph" w:styleId="TOC5">
    <w:name w:val="toc 5"/>
    <w:basedOn w:val="basetoc"/>
    <w:next w:val="Normal"/>
    <w:pPr>
      <w:ind w:hanging="720" w:start="3600" w:end="1440"/>
    </w:pPr>
    <w:rPr/>
  </w:style>
  <w:style w:type="paragraph" w:styleId="TOC4">
    <w:name w:val="toc 4"/>
    <w:basedOn w:val="basetoc"/>
    <w:next w:val="Normal"/>
    <w:pPr>
      <w:ind w:hanging="720" w:start="2880" w:end="1440"/>
    </w:pPr>
    <w:rPr/>
  </w:style>
  <w:style w:type="paragraph" w:styleId="TOC3">
    <w:name w:val="toc 3"/>
    <w:basedOn w:val="basetoc"/>
    <w:next w:val="Normal"/>
    <w:pPr>
      <w:ind w:hanging="720" w:start="2160" w:end="1440"/>
    </w:pPr>
    <w:rPr/>
  </w:style>
  <w:style w:type="paragraph" w:styleId="TOC2">
    <w:name w:val="toc 2"/>
    <w:basedOn w:val="basetoc"/>
    <w:next w:val="Normal"/>
    <w:pPr>
      <w:ind w:hanging="720" w:start="1440" w:end="1440"/>
    </w:pPr>
    <w:rPr/>
  </w:style>
  <w:style w:type="paragraph" w:styleId="TOC1">
    <w:name w:val="toc 1"/>
    <w:basedOn w:val="basetoc"/>
    <w:next w:val="Normal"/>
    <w:pPr/>
    <w:rPr>
      <w:caps/>
    </w:rPr>
  </w:style>
  <w:style w:type="paragraph" w:styleId="Index1">
    <w:name w:val="index 1"/>
    <w:basedOn w:val="Normal"/>
    <w:next w:val="Normal"/>
    <w:pPr>
      <w:tabs>
        <w:tab w:val="clear" w:pos="720"/>
        <w:tab w:val="right" w:pos="8640" w:leader="dot"/>
      </w:tabs>
      <w:spacing w:lineRule="atLeast" w:line="240" w:before="0" w:after="240"/>
      <w:ind w:hanging="720" w:start="720" w:end="1440"/>
    </w:pPr>
    <w:rPr/>
  </w:style>
  <w:style w:type="paragraph" w:styleId="FootnoteText">
    <w:name w:val="footnote text"/>
    <w:basedOn w:val="Normal"/>
    <w:pPr>
      <w:tabs>
        <w:tab w:val="clear" w:pos="720"/>
        <w:tab w:val="left" w:pos="360" w:leader="none"/>
      </w:tabs>
      <w:spacing w:lineRule="atLeast" w:line="240" w:before="0" w:after="200"/>
    </w:pPr>
    <w:rPr>
      <w:sz w:val="20"/>
    </w:rPr>
  </w:style>
  <w:style w:type="paragraph" w:styleId="TOC9">
    <w:name w:val="toc 9"/>
    <w:basedOn w:val="basetoc"/>
    <w:next w:val="Normal"/>
    <w:pPr/>
    <w:rPr>
      <w:caps/>
    </w:rPr>
  </w:style>
  <w:style w:type="paragraph" w:styleId="footnoteindent">
    <w:name w:val="footnote indent"/>
    <w:basedOn w:val="FootnoteText"/>
    <w:next w:val="FootnoteText"/>
    <w:qFormat/>
    <w:pPr>
      <w:tabs>
        <w:tab w:val="clear" w:pos="360"/>
      </w:tabs>
      <w:spacing w:lineRule="atLeast" w:line="240"/>
      <w:ind w:hanging="0" w:start="720" w:end="720"/>
    </w:pPr>
    <w:rPr/>
  </w:style>
  <w:style w:type="paragraph" w:styleId="footnote-indenthang">
    <w:name w:val="footnote - indent hang"/>
    <w:basedOn w:val="footnoteindent"/>
    <w:qFormat/>
    <w:pPr>
      <w:spacing w:lineRule="atLeast" w:line="240"/>
      <w:ind w:hanging="360" w:start="1080" w:end="720"/>
    </w:pPr>
    <w:rPr/>
  </w:style>
  <w:style w:type="paragraph" w:styleId="bodytext1">
    <w:name w:val="body text1"/>
    <w:basedOn w:val="Normal"/>
    <w:qFormat/>
    <w:pPr>
      <w:spacing w:lineRule="atLeast" w:line="480"/>
      <w:ind w:firstLine="1440" w:start="0" w:end="0"/>
    </w:pPr>
    <w:rPr/>
  </w:style>
  <w:style w:type="paragraph" w:styleId="bodytext-left">
    <w:name w:val="body text - left"/>
    <w:basedOn w:val="bodytext1"/>
    <w:next w:val="bodytext1"/>
    <w:qFormat/>
    <w:pPr>
      <w:ind w:hanging="0" w:start="0" w:end="0"/>
    </w:pPr>
    <w:rPr/>
  </w:style>
  <w:style w:type="paragraph" w:styleId="centeredheading">
    <w:name w:val="centered heading"/>
    <w:basedOn w:val="baseheading"/>
    <w:next w:val="bodytext1"/>
    <w:qFormat/>
    <w:pPr>
      <w:ind w:hanging="0" w:start="0" w:end="0"/>
      <w:jc w:val="center"/>
    </w:pPr>
    <w:rPr>
      <w:caps/>
    </w:rPr>
  </w:style>
  <w:style w:type="paragraph" w:styleId="indent">
    <w:name w:val="indent"/>
    <w:basedOn w:val="bodytext1"/>
    <w:next w:val="Normal"/>
    <w:qFormat/>
    <w:pPr>
      <w:spacing w:lineRule="atLeast" w:line="240" w:before="240" w:after="0"/>
      <w:ind w:hanging="0" w:start="1440" w:end="720"/>
    </w:pPr>
    <w:rPr/>
  </w:style>
  <w:style w:type="paragraph" w:styleId="indent-hang">
    <w:name w:val="indent - hang"/>
    <w:basedOn w:val="indent"/>
    <w:qFormat/>
    <w:pPr>
      <w:spacing w:lineRule="atLeast" w:line="240"/>
      <w:ind w:hanging="720" w:start="1440" w:end="720"/>
    </w:pPr>
    <w:rPr/>
  </w:style>
  <w:style w:type="paragraph" w:styleId="TOAHeading">
    <w:name w:val="TOA Heading"/>
    <w:basedOn w:val="Normal"/>
    <w:next w:val="TableofAuthorities"/>
    <w:qFormat/>
    <w:pPr>
      <w:spacing w:before="240" w:after="0"/>
      <w:jc w:val="center"/>
    </w:pPr>
    <w:rPr>
      <w:caps/>
    </w:rPr>
  </w:style>
  <w:style w:type="paragraph" w:styleId="TOATitle">
    <w:name w:val="TOA Title"/>
    <w:basedOn w:val="centeredheading"/>
    <w:next w:val="TOAHeading"/>
    <w:qFormat/>
    <w:pPr>
      <w:spacing w:before="0" w:after="120"/>
    </w:pPr>
    <w:rPr/>
  </w:style>
  <w:style w:type="paragraph" w:styleId="TableofAuthorities">
    <w:name w:val="Table of Authorities"/>
    <w:basedOn w:val="basetoc"/>
    <w:qFormat/>
    <w:pPr/>
    <w:rPr/>
  </w:style>
  <w:style w:type="paragraph" w:styleId="TOCTitle">
    <w:name w:val="TOC Title"/>
    <w:basedOn w:val="centeredheading"/>
    <w:qFormat/>
    <w:pPr>
      <w:spacing w:before="0" w:after="240"/>
    </w:pPr>
    <w:rPr/>
  </w:style>
  <w:style w:type="paragraph" w:styleId="leftheading">
    <w:name w:val="left heading"/>
    <w:basedOn w:val="baseheading"/>
    <w:next w:val="bodytext1"/>
    <w:qFormat/>
    <w:pPr>
      <w:tabs>
        <w:tab w:val="clear" w:pos="8640"/>
        <w:tab w:val="left" w:pos="9360" w:leader="none"/>
      </w:tabs>
      <w:ind w:hanging="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spacing w:lineRule="atLeast" w:line="240"/>
    </w:pPr>
    <w:rPr/>
  </w:style>
  <w:style w:type="paragraph" w:styleId="Header">
    <w:name w:val="header"/>
    <w:basedOn w:val="Normal"/>
    <w:next w:val="Normal"/>
    <w:pPr>
      <w:widowControl w:val="false"/>
      <w:tabs>
        <w:tab w:val="clear" w:pos="720"/>
        <w:tab w:val="center" w:pos="4680" w:leader="none"/>
        <w:tab w:val="right" w:pos="9360" w:leader="none"/>
      </w:tabs>
      <w:spacing w:lineRule="atLeast" w:line="240"/>
    </w:pPr>
    <w:rPr/>
  </w:style>
  <w:style w:type="paragraph" w:styleId="EndnoteText">
    <w:name w:val="endnote text"/>
    <w:basedOn w:val="Normal"/>
    <w:pPr>
      <w:tabs>
        <w:tab w:val="clear" w:pos="720"/>
        <w:tab w:val="left" w:pos="360" w:leader="none"/>
      </w:tabs>
      <w:spacing w:lineRule="atLeast" w:line="240" w:before="0" w:after="200"/>
    </w:pPr>
    <w:rPr>
      <w:sz w:val="20"/>
    </w:rPr>
  </w:style>
  <w:style w:type="paragraph" w:styleId="endnoteindent">
    <w:name w:val="endnote indent"/>
    <w:basedOn w:val="EndnoteText"/>
    <w:next w:val="EndnoteText"/>
    <w:qFormat/>
    <w:pPr>
      <w:tabs>
        <w:tab w:val="clear" w:pos="360"/>
      </w:tabs>
      <w:spacing w:lineRule="atLeast" w:line="240"/>
      <w:ind w:hanging="0" w:start="720" w:end="720"/>
    </w:pPr>
    <w:rPr/>
  </w:style>
  <w:style w:type="paragraph" w:styleId="endnote-indenthang">
    <w:name w:val="endnote - indent hang"/>
    <w:basedOn w:val="endnoteindent"/>
    <w:qFormat/>
    <w:pPr>
      <w:spacing w:lineRule="atLeast" w:line="240"/>
      <w:ind w:hanging="360" w:start="1080" w:end="720"/>
    </w:pPr>
    <w:rPr/>
  </w:style>
  <w:style w:type="paragraph" w:styleId="bodytext-bullet">
    <w:name w:val="body text - bullet"/>
    <w:basedOn w:val="bodytext1"/>
    <w:qFormat/>
    <w:pPr>
      <w:numPr>
        <w:ilvl w:val="0"/>
        <w:numId w:val="3"/>
      </w:numPr>
      <w:tabs>
        <w:tab w:val="clear" w:pos="720"/>
        <w:tab w:val="left" w:pos="2160" w:leader="none"/>
      </w:tabs>
      <w:ind w:firstLine="1440" w:start="0" w:end="0"/>
    </w:pPr>
    <w:rPr/>
  </w:style>
  <w:style w:type="paragraph" w:styleId="bodytext-number">
    <w:name w:val="body text - number"/>
    <w:basedOn w:val="bodytext1"/>
    <w:qFormat/>
    <w:pPr>
      <w:numPr>
        <w:ilvl w:val="0"/>
        <w:numId w:val="5"/>
      </w:numPr>
      <w:tabs>
        <w:tab w:val="clear" w:pos="720"/>
        <w:tab w:val="left" w:pos="2160" w:leader="none"/>
      </w:tabs>
      <w:ind w:firstLine="1440" w:start="0" w:end="0"/>
    </w:pPr>
    <w:rPr/>
  </w:style>
  <w:style w:type="paragraph" w:styleId="bodytext-indent">
    <w:name w:val="body text - indent"/>
    <w:basedOn w:val="bodytext1"/>
    <w:qFormat/>
    <w:pPr>
      <w:ind w:firstLine="1440" w:start="0" w:end="0"/>
    </w:pPr>
    <w:rPr>
      <w:rFonts w:ascii="Times New Roman" w:hAnsi="Times New Roman" w:cs="Times New Roman"/>
    </w:rPr>
  </w:style>
  <w:style w:type="paragraph" w:styleId="indent-bullet">
    <w:name w:val="indent - bullet"/>
    <w:basedOn w:val="indent"/>
    <w:qFormat/>
    <w:pPr>
      <w:numPr>
        <w:ilvl w:val="0"/>
        <w:numId w:val="4"/>
      </w:numPr>
      <w:tabs>
        <w:tab w:val="clear" w:pos="720"/>
        <w:tab w:val="left" w:pos="1440" w:leader="none"/>
      </w:tabs>
      <w:spacing w:lineRule="atLeast" w:line="240"/>
      <w:ind w:hanging="720" w:start="1440" w:end="720"/>
    </w:pPr>
    <w:rPr/>
  </w:style>
  <w:style w:type="paragraph" w:styleId="Logo">
    <w:name w:val="Logo"/>
    <w:basedOn w:val="Normal"/>
    <w:qFormat/>
    <w:pPr/>
    <w:rPr/>
  </w:style>
  <w:style w:type="paragraph" w:styleId="to">
    <w:name w:val="to"/>
    <w:basedOn w:val="Normal"/>
    <w:next w:val="Normal"/>
    <w:qFormat/>
    <w:pPr/>
    <w:rPr>
      <w:b/>
    </w:rPr>
  </w:style>
  <w:style w:type="paragraph" w:styleId="from">
    <w:name w:val="from"/>
    <w:basedOn w:val="Normal"/>
    <w:next w:val="Normal"/>
    <w:qFormat/>
    <w:pPr>
      <w:spacing w:lineRule="atLeast" w:line="240"/>
    </w:pPr>
    <w:rPr>
      <w:b/>
      <w:caps/>
    </w:rPr>
  </w:style>
  <w:style w:type="paragraph" w:styleId="date">
    <w:name w:val="date"/>
    <w:basedOn w:val="Normal"/>
    <w:next w:val="Normal"/>
    <w:qFormat/>
    <w:pPr>
      <w:spacing w:lineRule="atLeast" w:line="240"/>
    </w:pPr>
    <w:rPr>
      <w:b/>
    </w:rPr>
  </w:style>
  <w:style w:type="paragraph" w:styleId="re">
    <w:name w:val="re"/>
    <w:basedOn w:val="Normal"/>
    <w:next w:val="Normal"/>
    <w:qFormat/>
    <w:pPr/>
    <w:rPr>
      <w:b/>
      <w:caps/>
    </w:rPr>
  </w:style>
  <w:style w:type="paragraph" w:styleId="memorandum">
    <w:name w:val="memorandum"/>
    <w:basedOn w:val="Normal"/>
    <w:qFormat/>
    <w:pPr>
      <w:keepNext w:val="true"/>
      <w:keepLines/>
      <w:spacing w:lineRule="atLeast" w:line="240" w:before="480" w:after="320"/>
      <w:jc w:val="center"/>
    </w:pPr>
    <w:rPr>
      <w:b/>
      <w:smallCaps/>
      <w:sz w:val="28"/>
    </w:rPr>
  </w:style>
  <w:style w:type="paragraph" w:styleId="cc">
    <w:name w:val="cc:"/>
    <w:basedOn w:val="Normal"/>
    <w:qFormat/>
    <w:pPr>
      <w:spacing w:lineRule="atLeast" w:line="240"/>
      <w:ind w:hanging="720" w:start="720" w:end="0"/>
    </w:pPr>
    <w:rPr/>
  </w:style>
  <w:style w:type="paragraph" w:styleId="closing">
    <w:name w:val="closing"/>
    <w:basedOn w:val="Normal"/>
    <w:next w:val="Normal"/>
    <w:qFormat/>
    <w:pPr>
      <w:spacing w:lineRule="atLeast" w:line="240" w:before="240" w:after="720"/>
      <w:ind w:hanging="0" w:start="4680" w:end="0"/>
    </w:pPr>
    <w:rPr/>
  </w:style>
  <w:style w:type="paragraph" w:styleId="DocumentMap">
    <w:name w:val="Document Map"/>
    <w:basedOn w:val="Normal"/>
    <w:qFormat/>
    <w:pPr>
      <w:shd w:fill="000080" w:val="clear"/>
      <w:spacing w:lineRule="atLeast" w:line="240"/>
    </w:pPr>
    <w:rPr>
      <w:rFonts w:ascii="Tahoma" w:hAnsi="Tahoma" w:cs="Tahoma"/>
    </w:rPr>
  </w:style>
  <w:style w:type="paragraph" w:styleId="enclosures">
    <w:name w:val="enclosures"/>
    <w:basedOn w:val="Normal"/>
    <w:qFormat/>
    <w:pPr>
      <w:spacing w:lineRule="atLeast" w:line="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Howrey Memo.dot</Template>
  <TotalTime>1324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2000-11-08T11:34:00Z</dcterms:created>
  <dc:creator>David B. Patton</dc:creator>
  <dc:description/>
  <dc:language>en-CA</dc:language>
  <cp:lastModifiedBy>David B. Patton</cp:lastModifiedBy>
  <cp:lastPrinted>2000-08-14T11:26:00Z</cp:lastPrinted>
  <dcterms:modified xsi:type="dcterms:W3CDTF">2000-11-12T18:38:00Z</dcterms:modified>
  <cp:revision>5</cp:revision>
  <dc:subject/>
  <dc:title>Memo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David Finnegan (Tamaroff Associates)</vt:lpwstr>
  </property>
  <property fmtid="{D5CDD505-2E9C-101B-9397-08002B2CF9AE}" pid="3" name="Updated by">
    <vt:lpwstr>Lael Sharp 12/98</vt:lpwstr>
  </property>
</Properties>
</file>