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_rels/footer1.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media/image1.emf" ContentType="image/x-emf"/>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widowControl/>
        <w:ind w:hanging="0" w:start="0"/>
        <w:rPr>
          <w:u w:val="single"/>
        </w:rPr>
      </w:pPr>
      <w:r>
        <w:rPr>
          <w:u w:val="single"/>
        </w:rPr>
      </w:r>
    </w:p>
    <w:p>
      <w:pPr>
        <w:pStyle w:val="Heading1"/>
        <w:widowControl/>
        <w:tabs>
          <w:tab w:val="clear" w:pos="720"/>
          <w:tab w:val="left" w:pos="360" w:leader="none"/>
        </w:tabs>
        <w:ind w:hanging="0" w:start="0"/>
        <w:rPr>
          <w:u w:val="single"/>
        </w:rPr>
      </w:pPr>
      <w:r>
        <w:rPr>
          <w:u w:val="single"/>
        </w:rPr>
      </w:r>
    </w:p>
    <w:p>
      <w:pPr>
        <w:pStyle w:val="Heading1"/>
        <w:widowControl/>
        <w:tabs>
          <w:tab w:val="clear" w:pos="720"/>
          <w:tab w:val="left" w:pos="360" w:leader="none"/>
        </w:tabs>
        <w:ind w:hanging="0" w:start="0"/>
        <w:rPr>
          <w:caps w:val="false"/>
          <w:smallCaps w:val="false"/>
          <w:sz w:val="28"/>
        </w:rPr>
      </w:pPr>
      <w:r>
        <w:rPr>
          <w:caps w:val="false"/>
          <w:smallCaps w:val="false"/>
          <w:sz w:val="28"/>
        </w:rPr>
        <w:t>Proposal To</w:t>
      </w:r>
    </w:p>
    <w:p>
      <w:pPr>
        <w:pStyle w:val="Normal"/>
        <w:widowControl/>
        <w:tabs>
          <w:tab w:val="clear" w:pos="720"/>
          <w:tab w:val="left" w:pos="360" w:leader="none"/>
        </w:tabs>
        <w:jc w:val="center"/>
        <w:rPr>
          <w:b/>
          <w:sz w:val="28"/>
        </w:rPr>
      </w:pPr>
      <w:r>
        <w:rPr>
          <w:b/>
          <w:sz w:val="28"/>
        </w:rPr>
        <w:t>Cinergy Corp.</w:t>
      </w:r>
    </w:p>
    <w:p>
      <w:pPr>
        <w:pStyle w:val="Normal"/>
        <w:widowControl/>
        <w:tabs>
          <w:tab w:val="clear" w:pos="720"/>
          <w:tab w:val="left" w:pos="360" w:leader="none"/>
        </w:tabs>
        <w:jc w:val="center"/>
        <w:rPr>
          <w:b/>
          <w:sz w:val="28"/>
        </w:rPr>
      </w:pPr>
      <w:r>
        <w:rPr>
          <w:b/>
          <w:sz w:val="28"/>
        </w:rPr>
        <w:t>by</w:t>
      </w:r>
    </w:p>
    <w:p>
      <w:pPr>
        <w:pStyle w:val="Normal"/>
        <w:widowControl/>
        <w:tabs>
          <w:tab w:val="clear" w:pos="720"/>
          <w:tab w:val="left" w:pos="360" w:leader="none"/>
        </w:tabs>
        <w:jc w:val="center"/>
        <w:rPr>
          <w:b/>
        </w:rPr>
      </w:pPr>
      <w:r>
        <w:rPr>
          <w:b/>
          <w:sz w:val="28"/>
        </w:rPr>
        <w:t>Enron Capital &amp; Trade Resources Corp.</w:t>
      </w:r>
    </w:p>
    <w:p>
      <w:pPr>
        <w:pStyle w:val="Heading1"/>
        <w:widowControl/>
        <w:tabs>
          <w:tab w:val="clear" w:pos="720"/>
          <w:tab w:val="left" w:pos="360" w:leader="none"/>
        </w:tabs>
        <w:ind w:hanging="0" w:start="0"/>
        <w:rPr>
          <w:b w:val="false"/>
          <w:caps w:val="false"/>
          <w:smallCaps w:val="false"/>
          <w:sz w:val="24"/>
        </w:rPr>
      </w:pPr>
      <w:r>
        <w:rPr>
          <w:b w:val="false"/>
          <w:caps w:val="false"/>
          <w:smallCaps w:val="false"/>
          <w:sz w:val="24"/>
        </w:rPr>
        <w:t>August 23, 1999</w:t>
      </w:r>
    </w:p>
    <w:p>
      <w:pPr>
        <w:pStyle w:val="Normal"/>
        <w:widowControl/>
        <w:tabs>
          <w:tab w:val="clear" w:pos="720"/>
          <w:tab w:val="left" w:pos="360" w:leader="none"/>
        </w:tabs>
        <w:jc w:val="both"/>
        <w:rPr>
          <w:b/>
          <w:smallCaps/>
          <w:sz w:val="22"/>
        </w:rPr>
      </w:pPr>
      <w:r>
        <w:rPr>
          <w:b/>
          <w:smallCaps/>
          <w:sz w:val="22"/>
        </w:rPr>
      </w:r>
    </w:p>
    <w:p>
      <w:pPr>
        <w:pStyle w:val="Normal"/>
        <w:widowControl/>
        <w:tabs>
          <w:tab w:val="clear" w:pos="720"/>
          <w:tab w:val="left" w:pos="360" w:leader="none"/>
        </w:tabs>
        <w:jc w:val="both"/>
        <w:rPr>
          <w:b/>
          <w:smallCaps/>
          <w:sz w:val="22"/>
        </w:rPr>
      </w:pPr>
      <w:r>
        <w:rPr>
          <w:b/>
          <w:smallCaps/>
          <w:sz w:val="22"/>
        </w:rPr>
      </w:r>
    </w:p>
    <w:p>
      <w:pPr>
        <w:pStyle w:val="Normal"/>
        <w:widowControl/>
        <w:tabs>
          <w:tab w:val="clear" w:pos="720"/>
          <w:tab w:val="left" w:pos="360" w:leader="none"/>
        </w:tabs>
        <w:spacing w:lineRule="auto" w:line="360"/>
        <w:jc w:val="both"/>
        <w:rPr/>
      </w:pPr>
      <w:r>
        <w:rPr>
          <w:b/>
        </w:rPr>
        <w:t>Buyer</w:t>
      </w:r>
      <w:r>
        <w:rPr>
          <w:b/>
          <w:smallCaps/>
          <w:sz w:val="22"/>
        </w:rPr>
        <w:tab/>
      </w:r>
    </w:p>
    <w:p>
      <w:pPr>
        <w:pStyle w:val="Normal"/>
        <w:widowControl/>
        <w:tabs>
          <w:tab w:val="clear" w:pos="720"/>
          <w:tab w:val="left" w:pos="360" w:leader="none"/>
        </w:tabs>
        <w:spacing w:lineRule="auto" w:line="360"/>
        <w:jc w:val="both"/>
        <w:rPr>
          <w:sz w:val="22"/>
        </w:rPr>
      </w:pPr>
      <w:r>
        <w:rPr>
          <w:sz w:val="22"/>
        </w:rPr>
        <w:t>Cinergy Corp. (“Cinergy”)</w:t>
      </w:r>
    </w:p>
    <w:p>
      <w:pPr>
        <w:pStyle w:val="Normal"/>
        <w:widowControl/>
        <w:tabs>
          <w:tab w:val="clear" w:pos="720"/>
          <w:tab w:val="left" w:pos="360" w:leader="none"/>
        </w:tabs>
        <w:spacing w:lineRule="auto" w:line="360"/>
        <w:jc w:val="both"/>
        <w:rPr>
          <w:sz w:val="22"/>
        </w:rPr>
      </w:pPr>
      <w:r>
        <w:rPr>
          <w:sz w:val="22"/>
        </w:rPr>
      </w:r>
    </w:p>
    <w:p>
      <w:pPr>
        <w:pStyle w:val="Normal"/>
        <w:widowControl/>
        <w:tabs>
          <w:tab w:val="clear" w:pos="720"/>
          <w:tab w:val="left" w:pos="360" w:leader="none"/>
        </w:tabs>
        <w:spacing w:lineRule="auto" w:line="360"/>
        <w:jc w:val="both"/>
        <w:rPr>
          <w:b/>
          <w:sz w:val="22"/>
        </w:rPr>
      </w:pPr>
      <w:r>
        <w:rPr>
          <w:b/>
        </w:rPr>
        <w:t>Seller</w:t>
      </w:r>
    </w:p>
    <w:p>
      <w:pPr>
        <w:pStyle w:val="Normal"/>
        <w:widowControl/>
        <w:tabs>
          <w:tab w:val="clear" w:pos="720"/>
          <w:tab w:val="left" w:pos="360" w:leader="none"/>
        </w:tabs>
        <w:spacing w:lineRule="auto" w:line="360"/>
        <w:jc w:val="both"/>
        <w:rPr>
          <w:sz w:val="22"/>
        </w:rPr>
      </w:pPr>
      <w:r>
        <w:rPr>
          <w:sz w:val="22"/>
        </w:rPr>
        <w:t>Enron Power Marketing Inc. (“EPMI”)</w:t>
      </w:r>
    </w:p>
    <w:p>
      <w:pPr>
        <w:pStyle w:val="Normal"/>
        <w:rPr>
          <w:sz w:val="22"/>
        </w:rPr>
      </w:pPr>
      <w:r>
        <w:rPr>
          <w:sz w:val="22"/>
        </w:rPr>
      </w:r>
    </w:p>
    <w:p>
      <w:pPr>
        <w:pStyle w:val="Heading5"/>
        <w:ind w:hanging="0" w:start="0"/>
        <w:rPr/>
      </w:pPr>
      <w:r>
        <w:rPr/>
        <w:t>Description of Transaction</w:t>
      </w:r>
    </w:p>
    <w:p>
      <w:pPr>
        <w:pStyle w:val="Normal"/>
        <w:widowControl/>
        <w:tabs>
          <w:tab w:val="clear" w:pos="720"/>
          <w:tab w:val="left" w:pos="0" w:leader="none"/>
        </w:tabs>
        <w:jc w:val="both"/>
        <w:rPr>
          <w:sz w:val="22"/>
        </w:rPr>
      </w:pPr>
      <w:r>
        <w:rPr>
          <w:sz w:val="22"/>
        </w:rPr>
      </w:r>
    </w:p>
    <w:p>
      <w:pPr>
        <w:pStyle w:val="Normal"/>
        <w:widowControl/>
        <w:tabs>
          <w:tab w:val="clear" w:pos="720"/>
          <w:tab w:val="left" w:pos="360" w:leader="none"/>
        </w:tabs>
        <w:jc w:val="both"/>
        <w:rPr>
          <w:sz w:val="22"/>
        </w:rPr>
      </w:pPr>
      <w:r>
        <w:rPr>
          <w:sz w:val="22"/>
        </w:rPr>
        <w:t xml:space="preserve">ECT will supply to Cinergy peaking capacity and related energy based out of an electric generation facility ECT is developing near Wheatland, Indiana (the “Facility”).  </w:t>
      </w:r>
    </w:p>
    <w:p>
      <w:pPr>
        <w:pStyle w:val="Normal"/>
        <w:widowControl/>
        <w:tabs>
          <w:tab w:val="clear" w:pos="720"/>
          <w:tab w:val="left" w:pos="0" w:leader="none"/>
        </w:tabs>
        <w:jc w:val="both"/>
        <w:rPr>
          <w:sz w:val="22"/>
        </w:rPr>
      </w:pPr>
      <w:r>
        <w:rPr>
          <w:sz w:val="22"/>
        </w:rPr>
      </w:r>
    </w:p>
    <w:p>
      <w:pPr>
        <w:pStyle w:val="Heading5"/>
        <w:widowControl/>
        <w:ind w:hanging="0" w:start="0"/>
        <w:rPr/>
      </w:pPr>
      <w:r>
        <w:rPr/>
        <w:t>Term of Agreement</w:t>
      </w:r>
    </w:p>
    <w:p>
      <w:pPr>
        <w:pStyle w:val="Normal"/>
        <w:widowControl/>
        <w:rPr>
          <w:b/>
          <w:sz w:val="22"/>
        </w:rPr>
      </w:pPr>
      <w:r>
        <w:rPr>
          <w:b/>
          <w:sz w:val="22"/>
        </w:rPr>
      </w:r>
    </w:p>
    <w:p>
      <w:pPr>
        <w:pStyle w:val="Normal"/>
        <w:widowControl/>
        <w:jc w:val="both"/>
        <w:rPr>
          <w:sz w:val="22"/>
        </w:rPr>
      </w:pPr>
      <w:r>
        <w:rPr>
          <w:sz w:val="22"/>
        </w:rPr>
        <w:t>The term of this Proposal is 3 years beginning July 1, 2000 through June 30, 2002.</w:t>
      </w:r>
    </w:p>
    <w:p>
      <w:pPr>
        <w:pStyle w:val="Normal"/>
        <w:widowControl/>
        <w:rPr>
          <w:b/>
          <w:smallCaps/>
          <w:sz w:val="22"/>
        </w:rPr>
      </w:pPr>
      <w:r>
        <w:rPr>
          <w:b/>
          <w:smallCaps/>
          <w:sz w:val="22"/>
        </w:rPr>
      </w:r>
    </w:p>
    <w:p>
      <w:pPr>
        <w:pStyle w:val="Heading5"/>
        <w:widowControl/>
        <w:ind w:hanging="0" w:start="0"/>
        <w:rPr/>
      </w:pPr>
      <w:r>
        <w:rPr/>
        <w:t>Contract Quantity</w:t>
      </w:r>
    </w:p>
    <w:p>
      <w:pPr>
        <w:pStyle w:val="Normal"/>
        <w:widowControl/>
        <w:tabs>
          <w:tab w:val="clear" w:pos="720"/>
          <w:tab w:val="left" w:pos="360" w:leader="none"/>
        </w:tabs>
        <w:jc w:val="both"/>
        <w:rPr>
          <w:sz w:val="22"/>
        </w:rPr>
      </w:pPr>
      <w:r>
        <w:rPr>
          <w:sz w:val="22"/>
        </w:rPr>
      </w:r>
    </w:p>
    <w:p>
      <w:pPr>
        <w:pStyle w:val="Normal"/>
        <w:widowControl/>
        <w:tabs>
          <w:tab w:val="clear" w:pos="720"/>
          <w:tab w:val="left" w:pos="360" w:leader="none"/>
        </w:tabs>
        <w:jc w:val="both"/>
        <w:rPr>
          <w:sz w:val="22"/>
        </w:rPr>
      </w:pPr>
      <w:r>
        <w:rPr>
          <w:sz w:val="22"/>
        </w:rPr>
        <w:t>The capacity available to Cinergy under this Proposal shall be 470 MW at 90 Degrees (504 MW at ISO) for the term of the Agreement.  The Facility consists of four Westinghouse 501D5A’s simple cycle peaking units (each a “Unit”).</w:t>
      </w:r>
    </w:p>
    <w:p>
      <w:pPr>
        <w:pStyle w:val="Normal"/>
        <w:widowControl/>
        <w:tabs>
          <w:tab w:val="clear" w:pos="720"/>
          <w:tab w:val="left" w:pos="360" w:leader="none"/>
        </w:tabs>
        <w:jc w:val="both"/>
        <w:rPr>
          <w:sz w:val="22"/>
        </w:rPr>
      </w:pPr>
      <w:r>
        <w:rPr>
          <w:sz w:val="22"/>
        </w:rPr>
      </w:r>
    </w:p>
    <w:p>
      <w:pPr>
        <w:pStyle w:val="Heading5"/>
        <w:ind w:hanging="0" w:start="0"/>
        <w:rPr/>
      </w:pPr>
      <w:r>
        <w:rPr/>
        <w:t>Energy Price</w:t>
      </w:r>
    </w:p>
    <w:p>
      <w:pPr>
        <w:pStyle w:val="Normal"/>
        <w:widowControl/>
        <w:jc w:val="both"/>
        <w:rPr>
          <w:sz w:val="22"/>
        </w:rPr>
      </w:pPr>
      <w:r>
        <w:rPr>
          <w:sz w:val="22"/>
        </w:rPr>
      </w:r>
    </w:p>
    <w:p>
      <w:pPr>
        <w:pStyle w:val="Normal"/>
        <w:widowControl/>
        <w:jc w:val="both"/>
        <w:rPr>
          <w:sz w:val="22"/>
        </w:rPr>
      </w:pPr>
      <w:r>
        <w:rPr>
          <w:sz w:val="22"/>
        </w:rPr>
        <w:t>Cinergy shall pay ECT a formula rate based on a guaranteed heat rate times a delivered gas price plus an O&amp;M charge for each MWh delivered and received, plus a start charge per unit.  Exhibit A lists the details of each component of the energy price.</w:t>
      </w:r>
    </w:p>
    <w:p>
      <w:pPr>
        <w:pStyle w:val="Normal"/>
        <w:widowControl/>
        <w:jc w:val="both"/>
        <w:rPr>
          <w:b/>
          <w:smallCaps/>
          <w:sz w:val="22"/>
        </w:rPr>
      </w:pPr>
      <w:r>
        <w:rPr>
          <w:b/>
          <w:smallCaps/>
          <w:sz w:val="22"/>
        </w:rPr>
      </w:r>
    </w:p>
    <w:p>
      <w:pPr>
        <w:pStyle w:val="Heading5"/>
        <w:ind w:hanging="0" w:start="0"/>
        <w:rPr/>
      </w:pPr>
      <w:r>
        <w:rPr/>
        <w:t>Capacity Payment</w:t>
      </w:r>
    </w:p>
    <w:p>
      <w:pPr>
        <w:pStyle w:val="Normal"/>
        <w:widowControl/>
        <w:jc w:val="both"/>
        <w:rPr>
          <w:sz w:val="22"/>
        </w:rPr>
      </w:pPr>
      <w:r>
        <w:rPr>
          <w:sz w:val="22"/>
        </w:rPr>
      </w:r>
    </w:p>
    <w:p>
      <w:pPr>
        <w:pStyle w:val="Normal"/>
        <w:widowControl/>
        <w:jc w:val="both"/>
        <w:rPr>
          <w:sz w:val="22"/>
        </w:rPr>
      </w:pPr>
      <w:r>
        <w:rPr>
          <w:sz w:val="22"/>
        </w:rPr>
        <w:t>Cinergy shall pay ECT a demand charge equal to $____/kW-month for each month of the Agreement. These payments are based on 470 MW.  Other structures, including a prepayment by Cinergy and ownership of the physical asset, are open for discussion.</w:t>
      </w:r>
    </w:p>
    <w:p>
      <w:pPr>
        <w:pStyle w:val="Normal"/>
        <w:widowControl/>
        <w:jc w:val="both"/>
        <w:rPr>
          <w:b/>
          <w:smallCaps/>
          <w:sz w:val="22"/>
        </w:rPr>
      </w:pPr>
      <w:r>
        <w:rPr>
          <w:b/>
          <w:smallCaps/>
          <w:sz w:val="22"/>
        </w:rPr>
      </w:r>
    </w:p>
    <w:p>
      <w:pPr>
        <w:pStyle w:val="Heading5"/>
        <w:widowControl/>
        <w:tabs>
          <w:tab w:val="clear" w:pos="720"/>
          <w:tab w:val="left" w:pos="2610" w:leader="none"/>
        </w:tabs>
        <w:ind w:hanging="0" w:start="0"/>
        <w:rPr>
          <w:b w:val="false"/>
          <w:smallCaps/>
          <w:sz w:val="22"/>
        </w:rPr>
      </w:pPr>
      <w:r>
        <w:rPr>
          <w:b w:val="false"/>
          <w:smallCaps/>
          <w:sz w:val="22"/>
        </w:rPr>
      </w:r>
    </w:p>
    <w:p>
      <w:pPr>
        <w:pStyle w:val="Heading5"/>
        <w:widowControl/>
        <w:tabs>
          <w:tab w:val="clear" w:pos="720"/>
          <w:tab w:val="left" w:pos="2610" w:leader="none"/>
        </w:tabs>
        <w:ind w:hanging="0" w:start="0"/>
        <w:rPr/>
      </w:pPr>
      <w:r>
        <w:rPr/>
        <w:t>Guaranteed Heat Rate</w:t>
      </w:r>
    </w:p>
    <w:p>
      <w:pPr>
        <w:pStyle w:val="Normal"/>
        <w:rPr/>
      </w:pPr>
      <w:r>
        <w:rPr/>
      </w:r>
    </w:p>
    <w:p>
      <w:pPr>
        <w:pStyle w:val="Heading5"/>
        <w:widowControl/>
        <w:tabs>
          <w:tab w:val="clear" w:pos="720"/>
          <w:tab w:val="left" w:pos="2610" w:leader="none"/>
        </w:tabs>
        <w:ind w:hanging="0" w:start="0"/>
        <w:jc w:val="both"/>
        <w:rPr>
          <w:b w:val="false"/>
        </w:rPr>
      </w:pPr>
      <w:r>
        <w:rPr>
          <w:b w:val="false"/>
        </w:rPr>
        <w:t>ECT shall guarantee a heat rate of 12,000 Btu/kWh (HHV) for each hour of energy scheduled for the term of the Agreement.</w:t>
      </w:r>
    </w:p>
    <w:p>
      <w:pPr>
        <w:pStyle w:val="Normal"/>
        <w:rPr>
          <w:b/>
        </w:rPr>
      </w:pPr>
      <w:r>
        <w:rPr>
          <w:b/>
        </w:rPr>
      </w:r>
    </w:p>
    <w:p>
      <w:pPr>
        <w:pStyle w:val="Heading5"/>
        <w:ind w:hanging="0" w:start="0"/>
        <w:rPr/>
      </w:pPr>
      <w:r>
        <w:rPr/>
        <w:t>Scheduling</w:t>
      </w:r>
    </w:p>
    <w:p>
      <w:pPr>
        <w:pStyle w:val="Normal"/>
        <w:rPr/>
      </w:pPr>
      <w:r>
        <w:rPr/>
      </w:r>
    </w:p>
    <w:p>
      <w:pPr>
        <w:pStyle w:val="Normal"/>
        <w:rPr/>
      </w:pPr>
      <w:r>
        <w:rPr/>
        <w:t>Each Unit will be allowed 75-100 starts and 900-1000 hours of operation per year.</w:t>
      </w:r>
    </w:p>
    <w:p>
      <w:pPr>
        <w:pStyle w:val="Normal"/>
        <w:widowControl/>
        <w:ind w:hanging="1440" w:end="0"/>
        <w:rPr>
          <w:b/>
          <w:sz w:val="22"/>
        </w:rPr>
      </w:pPr>
      <w:r>
        <w:rPr>
          <w:b/>
          <w:sz w:val="22"/>
        </w:rPr>
        <w:tab/>
      </w:r>
    </w:p>
    <w:p>
      <w:pPr>
        <w:pStyle w:val="Normal"/>
        <w:widowControl/>
        <w:jc w:val="center"/>
        <w:rPr>
          <w:b/>
        </w:rPr>
      </w:pPr>
      <w:r>
        <w:rPr>
          <w:b/>
        </w:rPr>
        <w:t>Electric Delivery Point(s)</w:t>
      </w:r>
    </w:p>
    <w:p>
      <w:pPr>
        <w:pStyle w:val="Normal"/>
        <w:widowControl/>
        <w:jc w:val="both"/>
        <w:rPr>
          <w:b/>
          <w:sz w:val="22"/>
        </w:rPr>
      </w:pPr>
      <w:r>
        <w:rPr>
          <w:b/>
          <w:sz w:val="22"/>
        </w:rPr>
      </w:r>
    </w:p>
    <w:p>
      <w:pPr>
        <w:pStyle w:val="Normal"/>
        <w:widowControl/>
        <w:tabs>
          <w:tab w:val="clear" w:pos="720"/>
          <w:tab w:val="left" w:pos="0" w:leader="none"/>
          <w:tab w:val="left" w:pos="1440" w:leader="none"/>
          <w:tab w:val="left" w:pos="2160" w:leader="none"/>
          <w:tab w:val="left" w:pos="2880" w:leader="none"/>
          <w:tab w:val="left" w:pos="4320" w:leader="none"/>
          <w:tab w:val="left" w:pos="5040" w:leader="none"/>
          <w:tab w:val="left" w:pos="8640" w:leader="none"/>
          <w:tab w:val="left" w:pos="9360" w:leader="none"/>
        </w:tabs>
        <w:jc w:val="both"/>
        <w:rPr>
          <w:sz w:val="22"/>
        </w:rPr>
      </w:pPr>
      <w:r>
        <w:rPr>
          <w:sz w:val="22"/>
        </w:rPr>
        <w:t xml:space="preserve">Energy shall be delivered at the busbar of the Facility or at a valid Cinergy interface.  </w:t>
      </w:r>
    </w:p>
    <w:p>
      <w:pPr>
        <w:pStyle w:val="Normal"/>
        <w:widowControl/>
        <w:tabs>
          <w:tab w:val="clear" w:pos="720"/>
          <w:tab w:val="left" w:pos="360" w:leader="none"/>
        </w:tabs>
        <w:jc w:val="both"/>
        <w:rPr>
          <w:sz w:val="22"/>
        </w:rPr>
      </w:pPr>
      <w:r>
        <w:rPr>
          <w:sz w:val="22"/>
        </w:rPr>
      </w:r>
    </w:p>
    <w:p>
      <w:pPr>
        <w:pStyle w:val="Normal"/>
        <w:widowControl/>
        <w:jc w:val="center"/>
        <w:rPr>
          <w:b/>
        </w:rPr>
      </w:pPr>
      <w:r>
        <w:rPr>
          <w:b/>
        </w:rPr>
        <w:t>Gas Delivery</w:t>
      </w:r>
    </w:p>
    <w:p>
      <w:pPr>
        <w:pStyle w:val="Normal"/>
        <w:widowControl/>
        <w:tabs>
          <w:tab w:val="clear" w:pos="720"/>
          <w:tab w:val="left" w:pos="360" w:leader="none"/>
        </w:tabs>
        <w:jc w:val="both"/>
        <w:rPr>
          <w:b/>
          <w:sz w:val="22"/>
        </w:rPr>
      </w:pPr>
      <w:r>
        <w:rPr>
          <w:b/>
          <w:sz w:val="22"/>
        </w:rPr>
      </w:r>
    </w:p>
    <w:p>
      <w:pPr>
        <w:pStyle w:val="Normal"/>
        <w:widowControl/>
        <w:tabs>
          <w:tab w:val="clear" w:pos="720"/>
          <w:tab w:val="left" w:pos="360" w:leader="none"/>
        </w:tabs>
        <w:jc w:val="both"/>
        <w:rPr>
          <w:sz w:val="22"/>
        </w:rPr>
      </w:pPr>
      <w:r>
        <w:rPr>
          <w:sz w:val="22"/>
        </w:rPr>
        <w:t>Midwestern Pipeline at the new Wheatland Facility delivery point.  ECT shall be responsible for supplying, scheduling and balancing the gas and shall financially settle with Cinergy based on the following formula:</w:t>
      </w:r>
    </w:p>
    <w:p>
      <w:pPr>
        <w:pStyle w:val="Normal"/>
        <w:widowControl/>
        <w:tabs>
          <w:tab w:val="clear" w:pos="720"/>
          <w:tab w:val="left" w:pos="360" w:leader="none"/>
        </w:tabs>
        <w:jc w:val="both"/>
        <w:rPr>
          <w:sz w:val="22"/>
        </w:rPr>
      </w:pPr>
      <w:r>
        <w:rPr>
          <w:sz w:val="22"/>
        </w:rPr>
      </w:r>
    </w:p>
    <w:p>
      <w:pPr>
        <w:pStyle w:val="Normal"/>
        <w:widowControl/>
        <w:tabs>
          <w:tab w:val="clear" w:pos="720"/>
          <w:tab w:val="left" w:pos="360" w:leader="none"/>
        </w:tabs>
        <w:jc w:val="both"/>
        <w:rPr>
          <w:sz w:val="22"/>
        </w:rPr>
      </w:pPr>
      <w:r>
        <w:rPr>
          <w:sz w:val="22"/>
        </w:rPr>
        <w:t>Delivered Gas Price ($/mmBtu) = NGI Chicago LDCs Large End Users Index + Volumetric Transportation Charge (currently $0.0709 mmBtu/day April through October and $0.0784 mmBtu/day November through March) + Fuel (currently 1.0% for forward hauls and .5% for back hauls).  Daily transportation quantity limited to 86,000 mmBtu.</w:t>
      </w:r>
    </w:p>
    <w:p>
      <w:pPr>
        <w:pStyle w:val="Normal"/>
        <w:widowControl/>
        <w:tabs>
          <w:tab w:val="clear" w:pos="720"/>
          <w:tab w:val="left" w:pos="360" w:leader="none"/>
        </w:tabs>
        <w:jc w:val="both"/>
        <w:rPr>
          <w:sz w:val="22"/>
        </w:rPr>
      </w:pPr>
      <w:r>
        <w:rPr>
          <w:sz w:val="22"/>
        </w:rPr>
      </w:r>
    </w:p>
    <w:p>
      <w:pPr>
        <w:pStyle w:val="Normal"/>
        <w:widowControl/>
        <w:tabs>
          <w:tab w:val="clear" w:pos="720"/>
          <w:tab w:val="left" w:pos="360" w:leader="none"/>
        </w:tabs>
        <w:jc w:val="both"/>
        <w:rPr>
          <w:sz w:val="22"/>
        </w:rPr>
      </w:pPr>
      <w:r>
        <w:rPr>
          <w:sz w:val="22"/>
        </w:rPr>
        <w:t>The transportation and fuel charges are subject to change based on Midwestern’s pipeline tariff.  Any changes to the rate shall be passed on to Cinergy, including daily and monthly variance charges.</w:t>
      </w:r>
    </w:p>
    <w:p>
      <w:pPr>
        <w:pStyle w:val="Normal"/>
        <w:widowControl/>
        <w:tabs>
          <w:tab w:val="clear" w:pos="720"/>
          <w:tab w:val="left" w:pos="360" w:leader="none"/>
        </w:tabs>
        <w:jc w:val="both"/>
        <w:rPr>
          <w:sz w:val="22"/>
        </w:rPr>
      </w:pPr>
      <w:r>
        <w:rPr>
          <w:sz w:val="22"/>
        </w:rPr>
      </w:r>
    </w:p>
    <w:p>
      <w:pPr>
        <w:pStyle w:val="Heading5"/>
        <w:ind w:hanging="0" w:start="0"/>
        <w:rPr/>
      </w:pPr>
      <w:r>
        <w:rPr/>
        <w:t>Operations and Maintenance Expenses and Start Charges</w:t>
      </w:r>
    </w:p>
    <w:p>
      <w:pPr>
        <w:pStyle w:val="Normal"/>
        <w:widowControl/>
        <w:tabs>
          <w:tab w:val="clear" w:pos="720"/>
          <w:tab w:val="left" w:pos="360" w:leader="none"/>
        </w:tabs>
        <w:jc w:val="both"/>
        <w:rPr>
          <w:sz w:val="22"/>
        </w:rPr>
      </w:pPr>
      <w:r>
        <w:rPr>
          <w:sz w:val="22"/>
        </w:rPr>
      </w:r>
    </w:p>
    <w:p>
      <w:pPr>
        <w:pStyle w:val="Normal"/>
        <w:widowControl/>
        <w:tabs>
          <w:tab w:val="clear" w:pos="720"/>
          <w:tab w:val="left" w:pos="360" w:leader="none"/>
        </w:tabs>
        <w:jc w:val="both"/>
        <w:rPr>
          <w:sz w:val="22"/>
        </w:rPr>
      </w:pPr>
      <w:r>
        <w:rPr>
          <w:sz w:val="22"/>
        </w:rPr>
        <w:t xml:space="preserve">Cinergy shall pay a variable O&amp;M charge of $1.20/MWh for each MWh scheduled and received and a start charge of $4,350 per start per Unit.  Each year thereafter, the O&amp;M charge and the start charges will escalate at CPI. </w:t>
      </w:r>
    </w:p>
    <w:p>
      <w:pPr>
        <w:pStyle w:val="Heading5"/>
        <w:ind w:hanging="0" w:start="0"/>
        <w:rPr/>
      </w:pPr>
      <w:r>
        <w:rPr/>
        <w:t>Availability</w:t>
      </w:r>
    </w:p>
    <w:p>
      <w:pPr>
        <w:pStyle w:val="Normal"/>
        <w:rPr>
          <w:sz w:val="22"/>
        </w:rPr>
      </w:pPr>
      <w:r>
        <w:rPr>
          <w:sz w:val="22"/>
        </w:rPr>
      </w:r>
    </w:p>
    <w:p>
      <w:pPr>
        <w:pStyle w:val="Normal"/>
        <w:rPr>
          <w:sz w:val="22"/>
        </w:rPr>
      </w:pPr>
      <w:r>
        <w:rPr>
          <w:sz w:val="22"/>
        </w:rPr>
        <w:t>Each Unit will have a 96% annual availability.</w:t>
      </w:r>
    </w:p>
    <w:p>
      <w:pPr>
        <w:pStyle w:val="Normal"/>
        <w:widowControl/>
        <w:tabs>
          <w:tab w:val="clear" w:pos="720"/>
          <w:tab w:val="left" w:pos="360" w:leader="none"/>
        </w:tabs>
        <w:jc w:val="both"/>
        <w:rPr>
          <w:sz w:val="22"/>
        </w:rPr>
      </w:pPr>
      <w:r>
        <w:rPr>
          <w:sz w:val="22"/>
        </w:rPr>
      </w:r>
    </w:p>
    <w:p>
      <w:pPr>
        <w:pStyle w:val="Heading5"/>
        <w:ind w:hanging="0" w:start="0"/>
        <w:rPr/>
      </w:pPr>
      <w:r>
        <w:rPr/>
        <w:t>Confidentiality</w:t>
      </w:r>
    </w:p>
    <w:p>
      <w:pPr>
        <w:pStyle w:val="Normal"/>
        <w:widowControl/>
        <w:jc w:val="center"/>
        <w:rPr>
          <w:b/>
          <w:sz w:val="22"/>
        </w:rPr>
      </w:pPr>
      <w:r>
        <w:rPr>
          <w:b/>
          <w:sz w:val="22"/>
        </w:rPr>
      </w:r>
    </w:p>
    <w:p>
      <w:pPr>
        <w:pStyle w:val="BodyText2"/>
        <w:widowControl/>
        <w:tabs>
          <w:tab w:val="clear" w:pos="360"/>
        </w:tabs>
        <w:rPr/>
      </w:pPr>
      <w:r>
        <w:rPr/>
        <w:t>All terms and conditions of this proposal are confidential between Cinergy and ECT and their duly appointed agents.</w:t>
      </w:r>
    </w:p>
    <w:p>
      <w:pPr>
        <w:pStyle w:val="Normal"/>
        <w:widowControl/>
        <w:jc w:val="both"/>
        <w:rPr>
          <w:i/>
          <w:i/>
          <w:sz w:val="22"/>
        </w:rPr>
      </w:pPr>
      <w:r>
        <w:rPr>
          <w:i/>
          <w:sz w:val="22"/>
        </w:rPr>
      </w:r>
    </w:p>
    <w:p>
      <w:pPr>
        <w:pStyle w:val="BodyText"/>
        <w:widowControl/>
        <w:rPr>
          <w:sz w:val="22"/>
        </w:rPr>
      </w:pPr>
      <w:r>
        <w:rPr>
          <w:sz w:val="22"/>
        </w:rPr>
        <w:t xml:space="preserve">The prices in this proposal are subject to change until a final agreement is reached.  This proposal is for discussion purposes only to facilitate the negotiation, preparation, and execution of definitive agreements. This is not an offer or commitment of Seller or any of its affiliates to enter into any transaction. The transaction described herein is subject to further review and approval of the Boards of Directors of both the Seller and Buyer, and execution of definitive agreements containing all appropriate provisions, including those related to credit and limitation of damages and remedies. </w:t>
      </w:r>
    </w:p>
    <w:p>
      <w:pPr>
        <w:pStyle w:val="BodyText"/>
        <w:widowControl/>
        <w:rPr>
          <w:sz w:val="22"/>
        </w:rPr>
      </w:pPr>
      <w:r>
        <w:rPr>
          <w:sz w:val="22"/>
        </w:rPr>
      </w:r>
    </w:p>
    <w:p>
      <w:pPr>
        <w:pStyle w:val="Normal"/>
        <w:jc w:val="center"/>
        <w:rPr>
          <w:sz w:val="22"/>
        </w:rPr>
      </w:pPr>
      <w:r>
        <w:rPr>
          <w:sz w:val="22"/>
        </w:rPr>
      </w:r>
    </w:p>
    <w:p>
      <w:pPr>
        <w:pStyle w:val="Normal"/>
        <w:jc w:val="center"/>
        <w:rPr>
          <w:sz w:val="22"/>
        </w:rPr>
      </w:pPr>
      <w:r>
        <w:rPr>
          <w:sz w:val="22"/>
        </w:rPr>
      </w:r>
      <w:r>
        <w:br w:type="page"/>
      </w:r>
    </w:p>
    <w:p>
      <w:pPr>
        <w:pStyle w:val="Normal"/>
        <w:ind w:hanging="720" w:start="720" w:end="0"/>
        <w:rPr>
          <w:sz w:val="22"/>
        </w:rPr>
      </w:pPr>
      <w:r>
        <w:rPr>
          <w:sz w:val="22"/>
        </w:rPr>
        <w:t xml:space="preserve"> </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tbl>
      <w:tblPr>
        <w:tblW w:w="7344" w:type="dxa"/>
        <w:jc w:val="start"/>
        <w:tblInd w:w="0" w:type="dxa"/>
        <w:tblLayout w:type="fixed"/>
        <w:tblCellMar>
          <w:top w:w="0" w:type="dxa"/>
          <w:start w:w="108" w:type="dxa"/>
          <w:bottom w:w="0" w:type="dxa"/>
          <w:end w:w="108" w:type="dxa"/>
        </w:tblCellMar>
      </w:tblPr>
      <w:tblGrid>
        <w:gridCol w:w="1584"/>
        <w:gridCol w:w="2880"/>
        <w:gridCol w:w="2880"/>
      </w:tblGrid>
      <w:tr>
        <w:trPr/>
        <w:tc>
          <w:tcPr>
            <w:tcW w:w="1584" w:type="dxa"/>
            <w:tcBorders/>
          </w:tcPr>
          <w:p>
            <w:pPr>
              <w:pStyle w:val="Normal"/>
              <w:widowControl/>
              <w:rPr>
                <w:sz w:val="22"/>
              </w:rPr>
            </w:pPr>
            <w:r>
              <w:rPr>
                <w:sz w:val="22"/>
              </w:rPr>
              <w:t xml:space="preserve"> </w:t>
            </w:r>
          </w:p>
        </w:tc>
        <w:tc>
          <w:tcPr>
            <w:tcW w:w="2880" w:type="dxa"/>
            <w:tcBorders/>
          </w:tcPr>
          <w:p>
            <w:pPr>
              <w:pStyle w:val="Normal"/>
              <w:snapToGrid w:val="false"/>
              <w:jc w:val="center"/>
              <w:rPr>
                <w:sz w:val="22"/>
              </w:rPr>
            </w:pPr>
            <w:r>
              <w:rPr>
                <w:sz w:val="22"/>
              </w:rPr>
            </w:r>
          </w:p>
        </w:tc>
        <w:tc>
          <w:tcPr>
            <w:tcW w:w="2880" w:type="dxa"/>
            <w:tcBorders/>
          </w:tcPr>
          <w:p>
            <w:pPr>
              <w:pStyle w:val="Normal"/>
              <w:snapToGrid w:val="false"/>
              <w:jc w:val="center"/>
              <w:rPr>
                <w:sz w:val="22"/>
              </w:rPr>
            </w:pPr>
            <w:r>
              <w:rPr>
                <w:sz w:val="22"/>
              </w:rPr>
            </w:r>
          </w:p>
        </w:tc>
      </w:tr>
      <w:tr>
        <w:trPr/>
        <w:tc>
          <w:tcPr>
            <w:tcW w:w="1584" w:type="dxa"/>
            <w:tcBorders/>
          </w:tcPr>
          <w:p>
            <w:pPr>
              <w:pStyle w:val="Normal"/>
              <w:snapToGrid w:val="false"/>
              <w:rPr>
                <w:sz w:val="22"/>
              </w:rPr>
            </w:pPr>
            <w:r>
              <w:rPr>
                <w:sz w:val="22"/>
              </w:rPr>
            </w:r>
          </w:p>
        </w:tc>
        <w:tc>
          <w:tcPr>
            <w:tcW w:w="2880" w:type="dxa"/>
            <w:tcBorders/>
          </w:tcPr>
          <w:p>
            <w:pPr>
              <w:pStyle w:val="Normal"/>
              <w:snapToGrid w:val="false"/>
              <w:jc w:val="center"/>
              <w:rPr>
                <w:sz w:val="22"/>
              </w:rPr>
            </w:pPr>
            <w:r>
              <w:rPr>
                <w:sz w:val="22"/>
              </w:rPr>
            </w:r>
          </w:p>
        </w:tc>
        <w:tc>
          <w:tcPr>
            <w:tcW w:w="2880" w:type="dxa"/>
            <w:tcBorders/>
          </w:tcPr>
          <w:p>
            <w:pPr>
              <w:pStyle w:val="Normal"/>
              <w:snapToGrid w:val="false"/>
              <w:jc w:val="center"/>
              <w:rPr>
                <w:sz w:val="22"/>
              </w:rPr>
            </w:pPr>
            <w:r>
              <w:rPr>
                <w:sz w:val="22"/>
              </w:rPr>
            </w:r>
          </w:p>
        </w:tc>
      </w:tr>
      <w:tr>
        <w:trPr/>
        <w:tc>
          <w:tcPr>
            <w:tcW w:w="1584" w:type="dxa"/>
            <w:tcBorders/>
          </w:tcPr>
          <w:p>
            <w:pPr>
              <w:pStyle w:val="Normal"/>
              <w:snapToGrid w:val="false"/>
              <w:rPr>
                <w:sz w:val="22"/>
              </w:rPr>
            </w:pPr>
            <w:r>
              <w:rPr>
                <w:sz w:val="22"/>
              </w:rPr>
            </w:r>
          </w:p>
        </w:tc>
        <w:tc>
          <w:tcPr>
            <w:tcW w:w="2880" w:type="dxa"/>
            <w:tcBorders/>
          </w:tcPr>
          <w:p>
            <w:pPr>
              <w:pStyle w:val="Normal"/>
              <w:snapToGrid w:val="false"/>
              <w:jc w:val="center"/>
              <w:rPr>
                <w:sz w:val="22"/>
              </w:rPr>
            </w:pPr>
            <w:r>
              <w:rPr>
                <w:sz w:val="22"/>
              </w:rPr>
            </w:r>
          </w:p>
        </w:tc>
        <w:tc>
          <w:tcPr>
            <w:tcW w:w="2880" w:type="dxa"/>
            <w:tcBorders/>
          </w:tcPr>
          <w:p>
            <w:pPr>
              <w:pStyle w:val="Normal"/>
              <w:snapToGrid w:val="false"/>
              <w:jc w:val="center"/>
              <w:rPr>
                <w:sz w:val="22"/>
              </w:rPr>
            </w:pPr>
            <w:r>
              <w:rPr>
                <w:sz w:val="22"/>
              </w:rPr>
            </w:r>
          </w:p>
        </w:tc>
      </w:tr>
    </w:tbl>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576" w:top="1440" w:footer="288"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Tahoma">
    <w:charset w:val="00" w:characterSet="windows-1252"/>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ab/>
      <w:tab/>
    </w:r>
    <w:r>
      <w:rPr>
        <w:sz w:val="20"/>
      </w:rPr>
      <w:drawing>
        <wp:inline distT="0" distB="0" distL="0" distR="0">
          <wp:extent cx="1461135" cy="6400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tretch>
                    <a:fillRect/>
                  </a:stretch>
                </pic:blipFill>
                <pic:spPr bwMode="auto">
                  <a:xfrm>
                    <a:off x="0" y="0"/>
                    <a:ext cx="1461135" cy="640080"/>
                  </a:xfrm>
                  <a:prstGeom prst="rect">
                    <a:avLst/>
                  </a:prstGeom>
                  <a:noFill/>
                </pic:spPr>
              </pic:pic>
            </a:graphicData>
          </a:graphic>
        </wp:inline>
      </w:drawing>
    </w:r>
    <w:r>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24"/>
      </w:rPr>
    </w:pPr>
    <w:r>
      <w:rPr/>
      <w:tab/>
      <w:tab/>
    </w:r>
    <w:r>
      <w:rPr>
        <w:sz w:val="20"/>
      </w:rPr>
      <w:drawing>
        <wp:inline distT="0" distB="0" distL="0" distR="0">
          <wp:extent cx="1461135" cy="64008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1"/>
                  <a:srcRect l="-15" t="-33" r="-15" b="-33"/>
                  <a:stretch>
                    <a:fillRect/>
                  </a:stretch>
                </pic:blipFill>
                <pic:spPr bwMode="auto">
                  <a:xfrm>
                    <a:off x="0" y="0"/>
                    <a:ext cx="1461135" cy="640080"/>
                  </a:xfrm>
                  <a:prstGeom prst="rect">
                    <a:avLst/>
                  </a:prstGeom>
                  <a:noFill/>
                </pic:spPr>
              </pic:pic>
            </a:graphicData>
          </a:graphic>
        </wp:inline>
      </w:drawing>
    </w:r>
  </w:p>
  <w:p>
    <w:pPr>
      <w:pStyle w:val="Footer"/>
      <w:widowControl/>
      <w:rPr/>
    </w:pPr>
    <w:r>
      <w:rPr/>
      <w:tab/>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18"/>
      </w:rPr>
    </w:pPr>
    <w:r>
      <w:rPr>
        <w:b/>
        <w:i/>
        <w:sz w:val="18"/>
      </w:rPr>
      <w:t>Proprietary Confidential Business Information – For Discussion Only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18"/>
      </w:rPr>
    </w:pPr>
    <w:r>
      <w:rPr>
        <w:b/>
        <w:i/>
        <w:sz w:val="18"/>
      </w:rPr>
      <w:t>Proprietary Confidential Business Information – For Discussion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mallCaps/>
      <w:sz w:val="22"/>
    </w:rPr>
  </w:style>
  <w:style w:type="paragraph" w:styleId="Heading2">
    <w:name w:val="heading 2"/>
    <w:basedOn w:val="Normal"/>
    <w:next w:val="Normal"/>
    <w:qFormat/>
    <w:pPr>
      <w:keepNext w:val="true"/>
      <w:numPr>
        <w:ilvl w:val="1"/>
        <w:numId w:val="1"/>
      </w:numPr>
      <w:tabs>
        <w:tab w:val="clear" w:pos="720"/>
        <w:tab w:val="left" w:pos="360" w:leader="none"/>
      </w:tabs>
      <w:ind w:hanging="720" w:start="0" w:end="0"/>
      <w:jc w:val="center"/>
      <w:outlineLvl w:val="1"/>
    </w:pPr>
    <w:rPr>
      <w:b/>
      <w:smallCaps/>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keepNext w:val="true"/>
      <w:numPr>
        <w:ilvl w:val="4"/>
        <w:numId w:val="1"/>
      </w:numPr>
      <w:jc w:val="center"/>
      <w:outlineLvl w:val="4"/>
    </w:pPr>
    <w:rPr>
      <w:b/>
    </w:rPr>
  </w:style>
  <w:style w:type="character" w:styleId="WW8Num1z0">
    <w:name w:val="WW8Num1z0"/>
    <w:qFormat/>
    <w:rPr>
      <w:b/>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jc w:val="both"/>
    </w:pPr>
    <w:rPr>
      <w:i/>
      <w:sz w:val="18"/>
    </w:rPr>
  </w:style>
  <w:style w:type="paragraph" w:styleId="List">
    <w:name w:val="List"/>
    <w:basedOn w:val="BodyText"/>
    <w:pPr/>
    <w:rPr>
      <w:rFonts w:cs="NotoSans NF"/>
    </w:rPr>
  </w:style>
  <w:style w:type="paragraph" w:styleId="Caption">
    <w:name w:val="caption"/>
    <w:basedOn w:val="Normal"/>
    <w:next w:val="Normal"/>
    <w:qFormat/>
    <w:pPr>
      <w:jc w:val="center"/>
    </w:pPr>
    <w:rPr>
      <w:b/>
      <w:smallCaps/>
      <w:sz w:val="22"/>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Bullet">
    <w:name w:val="List Bullet"/>
    <w:basedOn w:val="Normal"/>
    <w:qFormat/>
    <w:pPr>
      <w:numPr>
        <w:ilvl w:val="0"/>
        <w:numId w:val="2"/>
      </w:numPr>
      <w:ind w:hanging="360" w:start="360" w:end="0"/>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tabs>
        <w:tab w:val="clear" w:pos="720"/>
        <w:tab w:val="left" w:pos="360" w:leader="none"/>
      </w:tabs>
      <w:jc w:val="both"/>
    </w:pPr>
    <w:rPr>
      <w:sz w:val="22"/>
    </w:rPr>
  </w:style>
  <w:style w:type="paragraph" w:styleId="WW-BodyText2">
    <w:name w:val="WW-Body Text 2"/>
    <w:basedOn w:val="Normal"/>
    <w:qFormat/>
    <w:pPr>
      <w:ind w:hanging="144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emf"/>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1999-08-23T11:59:00Z</dcterms:created>
  <dc:creator>ECT</dc:creator>
  <dc:description/>
  <dc:language>en-CA</dc:language>
  <cp:lastModifiedBy>Ben Rogers</cp:lastModifiedBy>
  <cp:lastPrinted>1999-08-23T11:52:00Z</cp:lastPrinted>
  <dcterms:modified xsi:type="dcterms:W3CDTF">1999-08-23T14:33:00Z</dcterms:modified>
  <cp:revision>7</cp:revision>
  <dc:subject/>
  <dc:title>SUMMARY OF TERMS FOR PROPOSED TRANSACTION BETWEEN</dc:title>
</cp:coreProperties>
</file>