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sz w:val="28"/>
        </w:rPr>
      </w:pPr>
      <w:r>
        <w:rPr>
          <w:sz w:val="28"/>
        </w:rPr>
        <w:t xml:space="preserve">PARAGRAPH 10 </w:t>
      </w:r>
    </w:p>
    <w:p>
      <w:pPr>
        <w:pStyle w:val="Heading"/>
        <w:spacing w:before="0" w:after="0"/>
        <w:rPr>
          <w:sz w:val="28"/>
        </w:rPr>
      </w:pPr>
      <w:r>
        <w:rPr>
          <w:sz w:val="28"/>
        </w:rPr>
        <w:t>to the</w:t>
      </w:r>
    </w:p>
    <w:p>
      <w:pPr>
        <w:pStyle w:val="Heading"/>
        <w:spacing w:before="0" w:after="0"/>
        <w:rPr>
          <w:sz w:val="28"/>
        </w:rPr>
      </w:pPr>
      <w:r>
        <w:rPr>
          <w:sz w:val="28"/>
        </w:rPr>
        <w:t xml:space="preserve">COLLATERAL ANNEX </w:t>
      </w:r>
    </w:p>
    <w:p>
      <w:pPr>
        <w:pStyle w:val="BodyText"/>
        <w:spacing w:before="0" w:after="0"/>
        <w:jc w:val="center"/>
        <w:rPr>
          <w:b/>
          <w:bCs/>
          <w:sz w:val="28"/>
        </w:rPr>
      </w:pPr>
      <w:r>
        <w:rPr>
          <w:b/>
          <w:bCs/>
          <w:sz w:val="28"/>
        </w:rPr>
        <w:t xml:space="preserve">to the </w:t>
      </w:r>
    </w:p>
    <w:p>
      <w:pPr>
        <w:pStyle w:val="Heading"/>
        <w:spacing w:before="0" w:after="0"/>
        <w:rPr/>
      </w:pPr>
      <w:r>
        <w:rPr>
          <w:bCs/>
          <w:sz w:val="28"/>
        </w:rPr>
        <w:t>EEI MASTER POWER PURCHASE</w:t>
      </w:r>
      <w:r>
        <w:rPr>
          <w:sz w:val="28"/>
        </w:rPr>
        <w:t xml:space="preserve"> AND SALE AGREEMENT</w:t>
      </w:r>
    </w:p>
    <w:p>
      <w:pPr>
        <w:pStyle w:val="Heading"/>
        <w:spacing w:before="0" w:after="0"/>
        <w:rPr>
          <w:sz w:val="28"/>
          <w:u w:val="single"/>
        </w:rPr>
      </w:pPr>
      <w:r>
        <w:rPr>
          <w:sz w:val="28"/>
          <w:u w:val="single"/>
        </w:rPr>
      </w:r>
    </w:p>
    <w:p>
      <w:pPr>
        <w:pStyle w:val="Heading"/>
        <w:spacing w:before="0" w:after="0"/>
        <w:rPr>
          <w:sz w:val="28"/>
          <w:u w:val="single"/>
        </w:rPr>
      </w:pPr>
      <w:r>
        <w:rPr>
          <w:sz w:val="28"/>
          <w:u w:val="single"/>
        </w:rPr>
        <w:t>CREDIT ELECTIONS COVER SHEET</w:t>
      </w:r>
    </w:p>
    <w:p>
      <w:pPr>
        <w:pStyle w:val="coverbody"/>
        <w:spacing w:before="0" w:after="0"/>
        <w:rPr>
          <w:sz w:val="28"/>
          <w:u w:val="single"/>
        </w:rPr>
      </w:pPr>
      <w:r>
        <w:rPr>
          <w:sz w:val="28"/>
          <w:u w:val="single"/>
        </w:rPr>
      </w:r>
    </w:p>
    <w:p>
      <w:pPr>
        <w:pStyle w:val="coverbody"/>
        <w:spacing w:before="0" w:after="0"/>
        <w:rPr/>
      </w:pPr>
      <w:r>
        <w:rPr/>
      </w:r>
    </w:p>
    <w:p>
      <w:pPr>
        <w:pStyle w:val="coverbody"/>
        <w:spacing w:before="0" w:after="0"/>
        <w:rPr/>
      </w:pPr>
      <w:r>
        <w:rPr/>
      </w:r>
    </w:p>
    <w:p>
      <w:pPr>
        <w:pStyle w:val="coverbody"/>
        <w:spacing w:before="0" w:after="0"/>
        <w:jc w:val="start"/>
        <w:rPr>
          <w:b/>
          <w:bCs/>
          <w:sz w:val="24"/>
        </w:rPr>
      </w:pPr>
      <w:r>
        <w:rPr>
          <w:b/>
          <w:bCs/>
          <w:sz w:val="24"/>
        </w:rPr>
        <w:t xml:space="preserve">Paragraph 10.    </w:t>
      </w:r>
      <w:r>
        <w:rPr>
          <w:b/>
          <w:bCs/>
          <w:sz w:val="24"/>
          <w:u w:val="single"/>
        </w:rPr>
        <w:t>Elections and Variables</w:t>
      </w:r>
    </w:p>
    <w:p>
      <w:pPr>
        <w:pStyle w:val="coverbody"/>
        <w:spacing w:before="0" w:after="0"/>
        <w:rPr>
          <w:b/>
          <w:bCs/>
          <w:sz w:val="24"/>
        </w:rPr>
      </w:pPr>
      <w:r>
        <w:rPr>
          <w:b/>
          <w:bCs/>
          <w:sz w:val="24"/>
        </w:rPr>
      </w:r>
    </w:p>
    <w:p>
      <w:pPr>
        <w:pStyle w:val="coverbody"/>
        <w:spacing w:before="0" w:after="0"/>
        <w:rPr/>
      </w:pPr>
      <w:r>
        <w:rPr/>
      </w:r>
    </w:p>
    <w:p>
      <w:pPr>
        <w:pStyle w:val="coverbody"/>
        <w:numPr>
          <w:ilvl w:val="0"/>
          <w:numId w:val="15"/>
        </w:numPr>
        <w:tabs>
          <w:tab w:val="clear" w:pos="720"/>
        </w:tabs>
        <w:spacing w:before="0" w:after="0"/>
        <w:ind w:hanging="0" w:start="0" w:end="0"/>
        <w:rPr>
          <w:b/>
          <w:bCs/>
          <w:u w:val="single"/>
        </w:rPr>
      </w:pPr>
      <w:r>
        <w:rPr>
          <w:b/>
          <w:bCs/>
          <w:u w:val="single"/>
        </w:rPr>
        <w:t>Collateral Threshold.</w:t>
      </w:r>
    </w:p>
    <w:p>
      <w:pPr>
        <w:pStyle w:val="coverbody"/>
        <w:spacing w:before="0" w:after="0"/>
        <w:ind w:start="360" w:end="0"/>
        <w:rPr>
          <w:b/>
          <w:bCs/>
          <w:u w:val="single"/>
        </w:rPr>
      </w:pPr>
      <w:r>
        <w:rPr>
          <w:b/>
          <w:bCs/>
          <w:u w:val="single"/>
        </w:rPr>
      </w:r>
    </w:p>
    <w:p>
      <w:pPr>
        <w:pStyle w:val="coverbody"/>
        <w:numPr>
          <w:ilvl w:val="0"/>
          <w:numId w:val="12"/>
        </w:numPr>
        <w:spacing w:before="0" w:after="0"/>
        <w:rPr>
          <w:b/>
          <w:bCs/>
          <w:u w:val="single"/>
        </w:rPr>
      </w:pPr>
      <w:r>
        <w:rPr>
          <w:b/>
          <w:bCs/>
          <w:u w:val="single"/>
        </w:rPr>
        <w:t>Party A Collateral Threshold.</w:t>
      </w:r>
    </w:p>
    <w:p>
      <w:pPr>
        <w:pStyle w:val="coverbody"/>
        <w:spacing w:before="0" w:after="0"/>
        <w:ind w:start="36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54"/>
      </w:r>
      <w:r>
        <w:rPr>
          <w:b/>
          <w:bCs/>
        </w:rPr>
        <w:tab/>
      </w:r>
      <w:r>
        <w:rPr/>
        <w:t>$50,000,000.00; provided, however, that the Collateral Threshold for Party A shall be zero upon the occurrence and during the continuance of an Event of Default or a Potential Event of Default with respect to Party A.</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or a Potential Event of Default with respect to Party A has occurred and is continuing:</w:t>
      </w:r>
    </w:p>
    <w:p>
      <w:pPr>
        <w:pStyle w:val="Normal"/>
        <w:jc w:val="both"/>
        <w:rPr>
          <w:sz w:val="20"/>
        </w:rPr>
      </w:pPr>
      <w:r>
        <w:rPr>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A</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start="3600" w:end="0"/>
        <w:rPr/>
      </w:pPr>
      <w:r>
        <w:rPr/>
      </w:r>
    </w:p>
    <w:p>
      <w:pPr>
        <w:pStyle w:val="coverbody"/>
        <w:spacing w:before="0" w:after="0"/>
        <w:ind w:hanging="720" w:start="2160" w:end="0"/>
        <w:rPr/>
      </w:pPr>
      <w:r>
        <w:rPr/>
        <w:tab/>
        <w:t xml:space="preserve">; </w:t>
      </w:r>
      <w:r>
        <w:rPr>
          <w:u w:val="single"/>
        </w:rPr>
        <w:t>provided, however</w:t>
      </w:r>
      <w:r>
        <w:rPr/>
        <w:t xml:space="preserve">, that, in the event that pursuant to clause (a) above, the Party A Collateral Threshold is zero, to the extent that the provisions of Section 8.2(b) or 8.2(d) are applicable to Party A, then the provisions of Section 8.2(b) or 8.2(d), as applicable, shall determine the amount of Performance Assurance that Party A shall be required to post to Party B.    </w:t>
      </w:r>
    </w:p>
    <w:p>
      <w:pPr>
        <w:pStyle w:val="coverbody"/>
        <w:spacing w:before="0" w:after="0"/>
        <w:ind w:start="360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A’s Collateral Threshold be greater than $______.</w:t>
      </w:r>
      <w:r>
        <w:rPr>
          <w:b/>
          <w:bCs/>
        </w:rPr>
        <w:t xml:space="preserve">  </w:t>
      </w:r>
    </w:p>
    <w:p>
      <w:pPr>
        <w:pStyle w:val="coverbody"/>
        <w:spacing w:before="0" w:after="0"/>
        <w:rPr>
          <w:b/>
          <w:bCs/>
        </w:rPr>
      </w:pPr>
      <w:r>
        <w:rPr>
          <w:b/>
          <w:bCs/>
        </w:rPr>
      </w:r>
    </w:p>
    <w:p>
      <w:pPr>
        <w:pStyle w:val="coverbody"/>
        <w:numPr>
          <w:ilvl w:val="0"/>
          <w:numId w:val="16"/>
        </w:numPr>
        <w:spacing w:before="0" w:after="0"/>
        <w:rPr>
          <w:b/>
          <w:bCs/>
          <w:u w:val="single"/>
        </w:rPr>
      </w:pPr>
      <w:r>
        <w:rPr>
          <w:b/>
          <w:bCs/>
          <w:u w:val="single"/>
        </w:rPr>
        <w:t>Party B Collateral Threshold.</w:t>
      </w:r>
    </w:p>
    <w:p>
      <w:pPr>
        <w:pStyle w:val="coverbody"/>
        <w:spacing w:before="0" w:after="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54"/>
      </w:r>
      <w:r>
        <w:rPr>
          <w:b/>
          <w:bCs/>
        </w:rPr>
        <w:tab/>
      </w:r>
      <w:r>
        <w:rPr/>
        <w:t>$40,000,000.00; provided, however, that the Collateral Threshold for Party B shall be zero upon the occurrence and during the continuance of an Event of Default or a Potential Event of Default with respect to Party B.</w:t>
      </w:r>
    </w:p>
    <w:p>
      <w:pPr>
        <w:pStyle w:val="coverbody"/>
        <w:spacing w:before="0" w:after="0"/>
        <w:rPr/>
      </w:pPr>
      <w:r>
        <w:rPr/>
      </w:r>
    </w:p>
    <w:p>
      <w:pPr>
        <w:pStyle w:val="Normal"/>
        <w:ind w:hanging="720" w:start="2160" w:end="0"/>
        <w:jc w:val="both"/>
        <w:rPr/>
      </w:pPr>
      <w:r>
        <w:rPr>
          <w:rFonts w:eastAsia="Wingdings 2" w:cs="Wingdings 2" w:ascii="Wingdings 2" w:hAnsi="Wingdings 2"/>
          <w:b/>
          <w:bCs/>
          <w:sz w:val="20"/>
        </w:rPr>
        <w:sym w:font="Wingdings 2" w:char="f02a"/>
      </w:r>
      <w:r>
        <w:rPr>
          <w:b/>
          <w:bCs/>
          <w:sz w:val="20"/>
        </w:rPr>
        <w:tab/>
      </w:r>
      <w:r>
        <w:rPr>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jc w:val="both"/>
        <w:rPr>
          <w:sz w:val="20"/>
        </w:rPr>
      </w:pPr>
      <w:r>
        <w:rPr>
          <w:sz w:val="20"/>
        </w:rPr>
      </w:r>
    </w:p>
    <w:p>
      <w:pPr>
        <w:pStyle w:val="Normal"/>
        <w:ind w:firstLine="720" w:start="720" w:end="0"/>
        <w:jc w:val="both"/>
        <w:rPr>
          <w:b/>
          <w:bCs/>
          <w:sz w:val="20"/>
          <w:u w:val="single"/>
        </w:rPr>
      </w:pPr>
      <w:r>
        <w:rPr>
          <w:b/>
          <w:bCs/>
          <w:sz w:val="20"/>
          <w:u w:val="single"/>
        </w:rPr>
      </w:r>
    </w:p>
    <w:p>
      <w:pPr>
        <w:pStyle w:val="Normal"/>
        <w:jc w:val="both"/>
        <w:rPr>
          <w:b/>
          <w:bCs/>
          <w:sz w:val="20"/>
          <w:u w:val="single"/>
        </w:rPr>
      </w:pPr>
      <w:r>
        <w:rPr>
          <w:b/>
          <w:bCs/>
          <w:sz w:val="20"/>
          <w:u w:val="single"/>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rPr>
                <w:b/>
                <w:bCs/>
                <w:sz w:val="20"/>
              </w:rPr>
            </w:pPr>
            <w:r>
              <w:rPr>
                <w:b/>
                <w:bCs/>
                <w:sz w:val="20"/>
              </w:rPr>
              <w:t>Party B</w:t>
            </w:r>
          </w:p>
          <w:p>
            <w:pPr>
              <w:pStyle w:val="Normal"/>
              <w:keepNext w:val="true"/>
              <w:rPr>
                <w:b/>
                <w:bCs/>
                <w:sz w:val="20"/>
                <w:u w:val="single"/>
              </w:rPr>
            </w:pPr>
            <w:r>
              <w:rPr>
                <w:b/>
                <w:bCs/>
                <w:sz w:val="20"/>
                <w:u w:val="single"/>
              </w:rPr>
              <w:t>Collateral Threshold</w:t>
            </w:r>
          </w:p>
        </w:tc>
        <w:tc>
          <w:tcPr>
            <w:tcW w:w="2672" w:type="dxa"/>
            <w:tcBorders/>
          </w:tcPr>
          <w:p>
            <w:pPr>
              <w:pStyle w:val="Normal"/>
              <w:keepNext w:val="true"/>
              <w:snapToGrid w:val="false"/>
              <w:ind w:start="-18" w:end="0"/>
              <w:rPr>
                <w:b/>
                <w:bCs/>
                <w:sz w:val="20"/>
                <w:u w:val="single"/>
              </w:rPr>
            </w:pPr>
            <w:r>
              <w:rPr>
                <w:b/>
                <w:bCs/>
                <w:sz w:val="20"/>
                <w:u w:val="single"/>
              </w:rPr>
            </w:r>
          </w:p>
          <w:p>
            <w:pPr>
              <w:pStyle w:val="Normal"/>
              <w:keepNext w:val="true"/>
              <w:ind w:start="-18" w:end="0"/>
              <w:rPr>
                <w:b/>
                <w:bCs/>
                <w:sz w:val="20"/>
                <w:u w:val="single"/>
              </w:rPr>
            </w:pPr>
            <w:r>
              <w:rPr>
                <w:b/>
                <w:bCs/>
                <w:sz w:val="20"/>
                <w:u w:val="single"/>
              </w:rPr>
              <w:t>S&amp;P Credit Rating</w:t>
            </w:r>
          </w:p>
          <w:p>
            <w:pPr>
              <w:pStyle w:val="Normal"/>
              <w:keepNext w:val="true"/>
              <w:ind w:start="-18" w:end="0"/>
              <w:rPr>
                <w:b/>
                <w:bCs/>
                <w:sz w:val="20"/>
                <w:u w:val="single"/>
              </w:rPr>
            </w:pPr>
            <w:r>
              <w:rPr>
                <w:b/>
                <w:bCs/>
                <w:sz w:val="20"/>
                <w:u w:val="single"/>
              </w:rPr>
            </w:r>
          </w:p>
        </w:tc>
        <w:tc>
          <w:tcPr>
            <w:tcW w:w="2672" w:type="dxa"/>
            <w:tcBorders/>
          </w:tcPr>
          <w:p>
            <w:pPr>
              <w:pStyle w:val="Normal"/>
              <w:keepNext w:val="true"/>
              <w:snapToGrid w:val="false"/>
              <w:rPr>
                <w:b/>
                <w:bCs/>
                <w:sz w:val="20"/>
                <w:u w:val="single"/>
              </w:rPr>
            </w:pPr>
            <w:r>
              <w:rPr>
                <w:b/>
                <w:bCs/>
                <w:sz w:val="20"/>
                <w:u w:val="single"/>
              </w:rPr>
            </w:r>
          </w:p>
          <w:p>
            <w:pPr>
              <w:pStyle w:val="Normal"/>
              <w:keepNext w:val="true"/>
              <w:rPr>
                <w:b/>
                <w:bCs/>
                <w:sz w:val="20"/>
                <w:u w:val="single"/>
              </w:rPr>
            </w:pPr>
            <w:r>
              <w:rPr>
                <w:b/>
                <w:bCs/>
                <w:sz w:val="20"/>
                <w:u w:val="single"/>
              </w:rPr>
              <w:t>Moody’s Credit Rating</w:t>
            </w:r>
          </w:p>
          <w:p>
            <w:pPr>
              <w:pStyle w:val="Normal"/>
              <w:keepNext w:val="true"/>
              <w:rPr>
                <w:b/>
                <w:bCs/>
                <w:sz w:val="20"/>
                <w:u w:val="single"/>
              </w:rPr>
            </w:pPr>
            <w:r>
              <w:rPr>
                <w:b/>
                <w:bCs/>
                <w:sz w:val="20"/>
                <w:u w:val="single"/>
              </w:rPr>
            </w:r>
          </w:p>
        </w:tc>
      </w:tr>
      <w:tr>
        <w:trPr/>
        <w:tc>
          <w:tcPr>
            <w:tcW w:w="2672" w:type="dxa"/>
            <w:tcBorders/>
          </w:tcPr>
          <w:p>
            <w:pPr>
              <w:pStyle w:val="Signature-dbl"/>
              <w:keepNext w:val="true"/>
              <w:tabs>
                <w:tab w:val="clear" w:pos="4320"/>
                <w:tab w:val="clear" w:pos="5040"/>
                <w:tab w:val="clear" w:pos="9360"/>
              </w:tabs>
              <w:spacing w:before="0" w:after="0"/>
              <w:rPr>
                <w:sz w:val="20"/>
                <w:szCs w:val="24"/>
              </w:rPr>
            </w:pPr>
            <w:r>
              <w:rPr>
                <w:sz w:val="20"/>
                <w:szCs w:val="24"/>
              </w:rPr>
              <w:t>$__________</w:t>
            </w:r>
          </w:p>
        </w:tc>
        <w:tc>
          <w:tcPr>
            <w:tcW w:w="2672" w:type="dxa"/>
            <w:tcBorders/>
          </w:tcPr>
          <w:p>
            <w:pPr>
              <w:pStyle w:val="Normal"/>
              <w:keepNext w:val="true"/>
              <w:ind w:start="-18" w:end="0"/>
              <w:rPr>
                <w:sz w:val="20"/>
              </w:rPr>
            </w:pPr>
            <w:r>
              <w:rPr>
                <w:sz w:val="20"/>
              </w:rPr>
              <w:t>_______ (or above)</w:t>
            </w:r>
          </w:p>
        </w:tc>
        <w:tc>
          <w:tcPr>
            <w:tcW w:w="2672" w:type="dxa"/>
            <w:tcBorders/>
          </w:tcPr>
          <w:p>
            <w:pPr>
              <w:pStyle w:val="Normal"/>
              <w:keepNext w:val="true"/>
              <w:ind w:start="-18" w:end="0"/>
              <w:rPr>
                <w:sz w:val="20"/>
              </w:rPr>
            </w:pPr>
            <w:r>
              <w:rPr>
                <w:sz w:val="20"/>
              </w:rPr>
              <w:t>_______ (or above)</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keepNext w:val="true"/>
              <w:rPr>
                <w:sz w:val="20"/>
              </w:rPr>
            </w:pPr>
            <w:r>
              <w:rPr>
                <w:sz w:val="20"/>
              </w:rPr>
              <w:t>$__________</w:t>
            </w:r>
          </w:p>
        </w:tc>
        <w:tc>
          <w:tcPr>
            <w:tcW w:w="2672" w:type="dxa"/>
            <w:tcBorders/>
          </w:tcPr>
          <w:p>
            <w:pPr>
              <w:pStyle w:val="Normal"/>
              <w:keepNext w:val="true"/>
              <w:ind w:start="-18" w:end="0"/>
              <w:rPr>
                <w:sz w:val="20"/>
              </w:rPr>
            </w:pPr>
            <w:r>
              <w:rPr>
                <w:sz w:val="20"/>
              </w:rPr>
              <w:t>_______</w:t>
            </w:r>
          </w:p>
        </w:tc>
        <w:tc>
          <w:tcPr>
            <w:tcW w:w="2672" w:type="dxa"/>
            <w:tcBorders/>
          </w:tcPr>
          <w:p>
            <w:pPr>
              <w:pStyle w:val="Normal"/>
              <w:keepNext w:val="true"/>
              <w:ind w:start="-18" w:end="0"/>
              <w:rPr>
                <w:sz w:val="20"/>
              </w:rPr>
            </w:pPr>
            <w:r>
              <w:rPr>
                <w:sz w:val="20"/>
              </w:rPr>
              <w:t>_______</w:t>
            </w:r>
          </w:p>
        </w:tc>
      </w:tr>
      <w:tr>
        <w:trPr/>
        <w:tc>
          <w:tcPr>
            <w:tcW w:w="2672" w:type="dxa"/>
            <w:tcBorders/>
          </w:tcPr>
          <w:p>
            <w:pPr>
              <w:pStyle w:val="Normal"/>
              <w:rPr>
                <w:sz w:val="20"/>
              </w:rPr>
            </w:pPr>
            <w:r>
              <w:rPr>
                <w:sz w:val="20"/>
              </w:rPr>
              <w:t>$__________</w:t>
            </w:r>
          </w:p>
        </w:tc>
        <w:tc>
          <w:tcPr>
            <w:tcW w:w="2672" w:type="dxa"/>
            <w:tcBorders/>
          </w:tcPr>
          <w:p>
            <w:pPr>
              <w:pStyle w:val="Normal"/>
              <w:ind w:start="-18" w:end="0"/>
              <w:rPr>
                <w:sz w:val="20"/>
              </w:rPr>
            </w:pPr>
            <w:r>
              <w:rPr>
                <w:sz w:val="20"/>
              </w:rPr>
              <w:t>Below _______</w:t>
            </w:r>
          </w:p>
        </w:tc>
        <w:tc>
          <w:tcPr>
            <w:tcW w:w="2672" w:type="dxa"/>
            <w:tcBorders/>
          </w:tcPr>
          <w:p>
            <w:pPr>
              <w:pStyle w:val="Normal"/>
              <w:ind w:start="-18" w:end="0"/>
              <w:rPr>
                <w:sz w:val="20"/>
              </w:rPr>
            </w:pPr>
            <w:r>
              <w:rPr>
                <w:sz w:val="20"/>
              </w:rPr>
              <w:t>Below _______</w:t>
            </w:r>
          </w:p>
        </w:tc>
      </w:tr>
      <w:tr>
        <w:trPr/>
        <w:tc>
          <w:tcPr>
            <w:tcW w:w="2672" w:type="dxa"/>
            <w:tcBorders/>
          </w:tcPr>
          <w:p>
            <w:pPr>
              <w:pStyle w:val="Normal"/>
              <w:snapToGrid w:val="false"/>
              <w:rPr>
                <w:sz w:val="20"/>
              </w:rPr>
            </w:pPr>
            <w:r>
              <w:rPr>
                <w:sz w:val="20"/>
              </w:rPr>
            </w:r>
          </w:p>
        </w:tc>
        <w:tc>
          <w:tcPr>
            <w:tcW w:w="2672" w:type="dxa"/>
            <w:tcBorders/>
          </w:tcPr>
          <w:p>
            <w:pPr>
              <w:pStyle w:val="Normal"/>
              <w:snapToGrid w:val="false"/>
              <w:ind w:start="-18" w:end="0"/>
              <w:rPr>
                <w:sz w:val="20"/>
              </w:rPr>
            </w:pPr>
            <w:r>
              <w:rPr>
                <w:sz w:val="20"/>
              </w:rPr>
            </w:r>
          </w:p>
        </w:tc>
        <w:tc>
          <w:tcPr>
            <w:tcW w:w="2672" w:type="dxa"/>
            <w:tcBorders/>
          </w:tcPr>
          <w:p>
            <w:pPr>
              <w:pStyle w:val="Normal"/>
              <w:snapToGrid w:val="false"/>
              <w:rPr>
                <w:sz w:val="20"/>
              </w:rPr>
            </w:pPr>
            <w:r>
              <w:rPr>
                <w:sz w:val="20"/>
              </w:rPr>
            </w:r>
          </w:p>
        </w:tc>
      </w:tr>
    </w:tbl>
    <w:p>
      <w:pPr>
        <w:pStyle w:val="coverbody"/>
        <w:spacing w:before="0" w:after="0"/>
        <w:ind w:hanging="720" w:start="2160" w:end="0"/>
        <w:rPr>
          <w:b/>
          <w:bCs/>
        </w:rPr>
      </w:pPr>
      <w:r>
        <w:rPr>
          <w:b/>
          <w:bCs/>
        </w:rPr>
      </w:r>
    </w:p>
    <w:p>
      <w:pPr>
        <w:pStyle w:val="coverbody"/>
        <w:spacing w:before="0" w:after="0"/>
        <w:ind w:start="2160" w:end="0"/>
        <w:rPr>
          <w:b/>
          <w:bCs/>
        </w:rPr>
      </w:pPr>
      <w:r>
        <w:rPr/>
        <w:t>;</w:t>
      </w:r>
      <w:r>
        <w:rPr>
          <w:u w:val="single"/>
        </w:rPr>
        <w:t>provided, however</w:t>
      </w:r>
      <w:r>
        <w:rPr/>
        <w:t xml:space="preserve">, that, in the event that pursuant to clause (a) above, the Party B Collateral Threshold is zero, to the extent that the provisions of Section 8.1(b) or 8.1(d) are applicable to Party B, then the provisions of Section 8.1(b) or 8.1(d), as applicable, shall determine the amount of Performance Assurance that Party B shall be required to post to Party A.    </w:t>
      </w:r>
    </w:p>
    <w:p>
      <w:pPr>
        <w:pStyle w:val="coverbody"/>
        <w:spacing w:before="0" w:after="0"/>
        <w:ind w:hanging="720" w:start="2160" w:end="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t>The amount of the Guaranty Agreement dated _____ from _____, as amended from time to time but in no event shall Party B’s Collateral Threshold be greater than $______.</w:t>
      </w:r>
      <w:r>
        <w:rPr>
          <w:b/>
          <w:bCs/>
        </w:rPr>
        <w:t xml:space="preserve">  </w:t>
      </w:r>
    </w:p>
    <w:p>
      <w:pPr>
        <w:pStyle w:val="coverbody"/>
        <w:spacing w:before="0" w:after="0"/>
        <w:rPr>
          <w:b/>
          <w:bCs/>
        </w:rPr>
      </w:pPr>
      <w:r>
        <w:rPr>
          <w:b/>
          <w:bCs/>
        </w:rPr>
      </w:r>
    </w:p>
    <w:p>
      <w:pPr>
        <w:pStyle w:val="coverbody"/>
        <w:spacing w:before="0" w:after="0"/>
        <w:rPr/>
      </w:pPr>
      <w:r>
        <w:rPr/>
      </w:r>
    </w:p>
    <w:p>
      <w:pPr>
        <w:pStyle w:val="coverbody"/>
        <w:numPr>
          <w:ilvl w:val="0"/>
          <w:numId w:val="15"/>
        </w:numPr>
        <w:tabs>
          <w:tab w:val="clear" w:pos="720"/>
          <w:tab w:val="left" w:pos="0" w:leader="none"/>
        </w:tabs>
        <w:spacing w:before="0" w:after="0"/>
        <w:ind w:hanging="0" w:start="0" w:end="0"/>
        <w:rPr>
          <w:b/>
          <w:bCs/>
        </w:rPr>
      </w:pPr>
      <w:r>
        <w:rPr>
          <w:b/>
          <w:bCs/>
          <w:u w:val="single"/>
        </w:rPr>
        <w:t>Eligible Collateral and Valuation Percentage</w:t>
      </w:r>
      <w:r>
        <w:rPr>
          <w:b/>
          <w:bCs/>
        </w:rPr>
        <w:t>.</w:t>
      </w:r>
    </w:p>
    <w:p>
      <w:pPr>
        <w:pStyle w:val="coverbody"/>
        <w:spacing w:before="0" w:after="0"/>
        <w:rPr>
          <w:b/>
          <w:bCs/>
        </w:rPr>
      </w:pPr>
      <w:r>
        <w:rPr>
          <w:b/>
          <w:bCs/>
        </w:rPr>
      </w:r>
    </w:p>
    <w:p>
      <w:pPr>
        <w:pStyle w:val="Normal"/>
        <w:ind w:firstLine="720" w:end="0"/>
        <w:jc w:val="both"/>
        <w:rPr>
          <w:sz w:val="20"/>
        </w:rPr>
      </w:pPr>
      <w:r>
        <w:rPr>
          <w:sz w:val="20"/>
        </w:rPr>
        <w:t>The following items will qualify as "Eligible Collateral" for the Party specified:</w:t>
      </w:r>
    </w:p>
    <w:p>
      <w:pPr>
        <w:pStyle w:val="Normal"/>
        <w:ind w:firstLine="360" w:end="0"/>
        <w:jc w:val="both"/>
        <w:rPr>
          <w:sz w:val="20"/>
        </w:rPr>
      </w:pPr>
      <w:r>
        <w:rPr>
          <w:sz w:val="20"/>
        </w:rPr>
      </w:r>
    </w:p>
    <w:tbl>
      <w:tblPr>
        <w:tblW w:w="7990" w:type="dxa"/>
        <w:jc w:val="start"/>
        <w:tblInd w:w="2018" w:type="dxa"/>
        <w:tblLayout w:type="fixed"/>
        <w:tblCellMar>
          <w:top w:w="0" w:type="dxa"/>
          <w:start w:w="108" w:type="dxa"/>
          <w:bottom w:w="0" w:type="dxa"/>
          <w:end w:w="108" w:type="dxa"/>
        </w:tblCellMar>
      </w:tblPr>
      <w:tblGrid>
        <w:gridCol w:w="610"/>
        <w:gridCol w:w="1440"/>
        <w:gridCol w:w="990"/>
        <w:gridCol w:w="990"/>
        <w:gridCol w:w="3960"/>
      </w:tblGrid>
      <w:tr>
        <w:trPr>
          <w:trHeight w:val="90" w:hRule="atLeast"/>
        </w:trPr>
        <w:tc>
          <w:tcPr>
            <w:tcW w:w="610" w:type="dxa"/>
            <w:tcBorders/>
          </w:tcPr>
          <w:p>
            <w:pPr>
              <w:pStyle w:val="Normal"/>
              <w:snapToGrid w:val="false"/>
              <w:jc w:val="both"/>
              <w:rPr>
                <w:sz w:val="20"/>
              </w:rPr>
            </w:pPr>
            <w:r>
              <w:rPr>
                <w:sz w:val="20"/>
              </w:rPr>
            </w:r>
          </w:p>
        </w:tc>
        <w:tc>
          <w:tcPr>
            <w:tcW w:w="1440" w:type="dxa"/>
            <w:tcBorders/>
          </w:tcPr>
          <w:p>
            <w:pPr>
              <w:pStyle w:val="Normal"/>
              <w:snapToGrid w:val="false"/>
              <w:jc w:val="both"/>
              <w:rPr>
                <w:sz w:val="20"/>
              </w:rPr>
            </w:pPr>
            <w:r>
              <w:rPr>
                <w:sz w:val="20"/>
              </w:rPr>
            </w:r>
          </w:p>
        </w:tc>
        <w:tc>
          <w:tcPr>
            <w:tcW w:w="990" w:type="dxa"/>
            <w:tcBorders/>
          </w:tcPr>
          <w:p>
            <w:pPr>
              <w:pStyle w:val="Normal"/>
              <w:jc w:val="center"/>
              <w:rPr>
                <w:b/>
                <w:bCs/>
                <w:sz w:val="20"/>
                <w:u w:val="single"/>
              </w:rPr>
            </w:pPr>
            <w:r>
              <w:rPr>
                <w:b/>
                <w:bCs/>
                <w:sz w:val="20"/>
                <w:u w:val="single"/>
              </w:rPr>
              <w:t>Party A</w:t>
            </w:r>
          </w:p>
        </w:tc>
        <w:tc>
          <w:tcPr>
            <w:tcW w:w="990" w:type="dxa"/>
            <w:tcBorders/>
          </w:tcPr>
          <w:p>
            <w:pPr>
              <w:pStyle w:val="Normal"/>
              <w:jc w:val="center"/>
              <w:rPr>
                <w:b/>
                <w:bCs/>
                <w:sz w:val="20"/>
                <w:u w:val="single"/>
              </w:rPr>
            </w:pPr>
            <w:r>
              <w:rPr>
                <w:b/>
                <w:bCs/>
                <w:sz w:val="20"/>
                <w:u w:val="single"/>
              </w:rPr>
              <w:t>Party B</w:t>
            </w:r>
          </w:p>
        </w:tc>
        <w:tc>
          <w:tcPr>
            <w:tcW w:w="3960" w:type="dxa"/>
            <w:tcBorders/>
          </w:tcPr>
          <w:p>
            <w:pPr>
              <w:pStyle w:val="Heading3"/>
              <w:numPr>
                <w:ilvl w:val="0"/>
                <w:numId w:val="0"/>
              </w:numPr>
              <w:spacing w:before="0" w:after="0"/>
              <w:ind w:hanging="0" w:start="720" w:end="0"/>
              <w:jc w:val="center"/>
              <w:rPr>
                <w:b/>
                <w:bCs/>
                <w:sz w:val="20"/>
                <w:u w:val="single"/>
              </w:rPr>
            </w:pPr>
            <w:r>
              <w:rPr>
                <w:b/>
                <w:bCs/>
                <w:sz w:val="20"/>
                <w:u w:val="single"/>
              </w:rPr>
              <w:t>Valuation Percentage</w:t>
            </w:r>
          </w:p>
        </w:tc>
      </w:tr>
      <w:tr>
        <w:trPr/>
        <w:tc>
          <w:tcPr>
            <w:tcW w:w="610" w:type="dxa"/>
            <w:tcBorders/>
          </w:tcPr>
          <w:p>
            <w:pPr>
              <w:pStyle w:val="Normal"/>
              <w:jc w:val="both"/>
              <w:rPr>
                <w:sz w:val="20"/>
              </w:rPr>
            </w:pPr>
            <w:r>
              <w:rPr>
                <w:sz w:val="20"/>
              </w:rPr>
              <w:t>(A)</w:t>
            </w:r>
          </w:p>
        </w:tc>
        <w:tc>
          <w:tcPr>
            <w:tcW w:w="1440" w:type="dxa"/>
            <w:tcBorders/>
          </w:tcPr>
          <w:p>
            <w:pPr>
              <w:pStyle w:val="Normal"/>
              <w:jc w:val="both"/>
              <w:rPr>
                <w:sz w:val="20"/>
              </w:rPr>
            </w:pPr>
            <w:r>
              <w:rPr>
                <w:sz w:val="20"/>
              </w:rPr>
              <w:t>Cash</w:t>
            </w:r>
          </w:p>
          <w:p>
            <w:pPr>
              <w:pStyle w:val="Normal"/>
              <w:jc w:val="both"/>
              <w:rPr>
                <w:sz w:val="20"/>
              </w:rPr>
            </w:pPr>
            <w:r>
              <w:rPr>
                <w:sz w:val="20"/>
              </w:rPr>
            </w:r>
          </w:p>
        </w:tc>
        <w:tc>
          <w:tcPr>
            <w:tcW w:w="990" w:type="dxa"/>
            <w:tcBorders/>
          </w:tcPr>
          <w:p>
            <w:pPr>
              <w:pStyle w:val="Normal"/>
              <w:jc w:val="center"/>
              <w:rPr>
                <w:sz w:val="20"/>
              </w:rPr>
            </w:pPr>
            <w:r>
              <w:rPr>
                <w:b/>
                <w:sz w:val="20"/>
              </w:rPr>
              <w:t>[x</w:t>
            </w:r>
          </w:p>
        </w:tc>
        <w:tc>
          <w:tcPr>
            <w:tcW w:w="990" w:type="dxa"/>
            <w:tcBorders/>
          </w:tcPr>
          <w:p>
            <w:pPr>
              <w:pStyle w:val="Normal"/>
              <w:jc w:val="center"/>
              <w:rPr>
                <w:sz w:val="20"/>
              </w:rPr>
            </w:pPr>
            <w:r>
              <w:rPr>
                <w:b/>
                <w:sz w:val="20"/>
              </w:rPr>
              <w:t>[x]</w:t>
            </w:r>
          </w:p>
        </w:tc>
        <w:tc>
          <w:tcPr>
            <w:tcW w:w="3960" w:type="dxa"/>
            <w:tcBorders/>
          </w:tcPr>
          <w:p>
            <w:pPr>
              <w:pStyle w:val="Normal"/>
              <w:jc w:val="both"/>
              <w:rPr>
                <w:sz w:val="20"/>
              </w:rPr>
            </w:pPr>
            <w:r>
              <w:rPr>
                <w:sz w:val="20"/>
              </w:rPr>
              <w:t>100%</w:t>
            </w:r>
          </w:p>
        </w:tc>
      </w:tr>
      <w:tr>
        <w:trPr/>
        <w:tc>
          <w:tcPr>
            <w:tcW w:w="610" w:type="dxa"/>
            <w:tcBorders/>
          </w:tcPr>
          <w:p>
            <w:pPr>
              <w:pStyle w:val="Normal"/>
              <w:jc w:val="both"/>
              <w:rPr>
                <w:sz w:val="20"/>
              </w:rPr>
            </w:pPr>
            <w:r>
              <w:rPr>
                <w:sz w:val="20"/>
              </w:rPr>
              <w:t>(B)</w:t>
            </w:r>
          </w:p>
        </w:tc>
        <w:tc>
          <w:tcPr>
            <w:tcW w:w="144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r>
              <w:rPr>
                <w:rFonts w:cs="Times New Roman" w:ascii="Times New Roman" w:hAnsi="Times New Roman"/>
                <w:szCs w:val="24"/>
              </w:rPr>
              <w:t>Letters of Credit</w:t>
            </w:r>
          </w:p>
        </w:tc>
        <w:tc>
          <w:tcPr>
            <w:tcW w:w="990" w:type="dxa"/>
            <w:tcBorders/>
          </w:tcPr>
          <w:p>
            <w:pPr>
              <w:pStyle w:val="Normal"/>
              <w:jc w:val="center"/>
              <w:rPr>
                <w:sz w:val="20"/>
              </w:rPr>
            </w:pPr>
            <w:r>
              <w:rPr>
                <w:b/>
                <w:sz w:val="20"/>
              </w:rPr>
              <w:t>[x]</w:t>
            </w:r>
          </w:p>
        </w:tc>
        <w:tc>
          <w:tcPr>
            <w:tcW w:w="990" w:type="dxa"/>
            <w:tcBorders/>
          </w:tcPr>
          <w:p>
            <w:pPr>
              <w:pStyle w:val="Normal"/>
              <w:jc w:val="center"/>
              <w:rPr>
                <w:sz w:val="20"/>
              </w:rPr>
            </w:pPr>
            <w:r>
              <w:rPr>
                <w:b/>
                <w:sz w:val="20"/>
              </w:rPr>
              <w:t>[x]</w:t>
            </w:r>
          </w:p>
        </w:tc>
        <w:tc>
          <w:tcPr>
            <w:tcW w:w="3960" w:type="dxa"/>
            <w:tcBorders/>
          </w:tcPr>
          <w:p>
            <w:pPr>
              <w:pStyle w:val="Normal"/>
              <w:jc w:val="both"/>
              <w:rPr>
                <w:sz w:val="20"/>
              </w:rPr>
            </w:pPr>
            <w:r>
              <w:rPr>
                <w:sz w:val="20"/>
              </w:rPr>
              <w:t>100% unless either (i) a Letter of Credit Default shall have occurred and be continuing with respect to such Letter of Credit, or (ii) twenty (20) or fewer Business Days remain prior to the expiration of such Letter of Credit, in which cases the Valuation Percentage shall be 0.</w:t>
            </w:r>
          </w:p>
          <w:p>
            <w:pPr>
              <w:pStyle w:val="Normal"/>
              <w:jc w:val="both"/>
              <w:rPr>
                <w:sz w:val="20"/>
              </w:rPr>
            </w:pPr>
            <w:r>
              <w:rPr>
                <w:sz w:val="20"/>
              </w:rPr>
            </w:r>
          </w:p>
        </w:tc>
      </w:tr>
      <w:tr>
        <w:trPr/>
        <w:tc>
          <w:tcPr>
            <w:tcW w:w="610" w:type="dxa"/>
            <w:tcBorders/>
          </w:tcPr>
          <w:p>
            <w:pPr>
              <w:pStyle w:val="Normal"/>
              <w:jc w:val="both"/>
              <w:rPr>
                <w:sz w:val="20"/>
              </w:rPr>
            </w:pPr>
            <w:r>
              <w:rPr>
                <w:sz w:val="20"/>
              </w:rPr>
              <w:t>(C)</w:t>
            </w:r>
          </w:p>
        </w:tc>
        <w:tc>
          <w:tcPr>
            <w:tcW w:w="1440" w:type="dxa"/>
            <w:tcBorders/>
          </w:tcPr>
          <w:p>
            <w:pPr>
              <w:pStyle w:val="Normal"/>
              <w:jc w:val="both"/>
              <w:rPr>
                <w:sz w:val="20"/>
              </w:rPr>
            </w:pPr>
            <w:r>
              <w:rPr>
                <w:sz w:val="20"/>
              </w:rPr>
              <w:t>Other</w:t>
            </w:r>
          </w:p>
        </w:tc>
        <w:tc>
          <w:tcPr>
            <w:tcW w:w="990" w:type="dxa"/>
            <w:tcBorders/>
          </w:tcPr>
          <w:p>
            <w:pPr>
              <w:pStyle w:val="Normal"/>
              <w:jc w:val="center"/>
              <w:rPr>
                <w:sz w:val="20"/>
              </w:rPr>
            </w:pPr>
            <w:r>
              <w:rPr>
                <w:b/>
                <w:sz w:val="20"/>
              </w:rPr>
              <w:t>[ ]</w:t>
            </w:r>
          </w:p>
        </w:tc>
        <w:tc>
          <w:tcPr>
            <w:tcW w:w="990" w:type="dxa"/>
            <w:tcBorders/>
          </w:tcPr>
          <w:p>
            <w:pPr>
              <w:pStyle w:val="Normal"/>
              <w:jc w:val="center"/>
              <w:rPr>
                <w:sz w:val="20"/>
              </w:rPr>
            </w:pPr>
            <w:r>
              <w:rPr>
                <w:b/>
                <w:sz w:val="20"/>
              </w:rPr>
              <w:t>[  ]</w:t>
            </w:r>
          </w:p>
        </w:tc>
        <w:tc>
          <w:tcPr>
            <w:tcW w:w="3960" w:type="dxa"/>
            <w:tcBorders/>
          </w:tcPr>
          <w:p>
            <w:pPr>
              <w:pStyle w:val="Normal"/>
              <w:jc w:val="both"/>
              <w:rPr>
                <w:sz w:val="20"/>
              </w:rPr>
            </w:pPr>
            <w:r>
              <w:rPr>
                <w:sz w:val="20"/>
              </w:rPr>
              <w:t>________%</w:t>
            </w:r>
          </w:p>
          <w:p>
            <w:pPr>
              <w:pStyle w:val="Normal"/>
              <w:jc w:val="both"/>
              <w:rPr>
                <w:sz w:val="20"/>
              </w:rPr>
            </w:pPr>
            <w:r>
              <w:rPr>
                <w:sz w:val="20"/>
              </w:rPr>
            </w:r>
          </w:p>
        </w:tc>
      </w:tr>
    </w:tbl>
    <w:p>
      <w:pPr>
        <w:pStyle w:val="coverbody"/>
        <w:spacing w:before="0" w:after="0"/>
        <w:rPr/>
      </w:pPr>
      <w:r>
        <w:rPr/>
      </w:r>
    </w:p>
    <w:p>
      <w:pPr>
        <w:pStyle w:val="coverbody"/>
        <w:numPr>
          <w:ilvl w:val="0"/>
          <w:numId w:val="15"/>
        </w:numPr>
        <w:tabs>
          <w:tab w:val="clear" w:pos="720"/>
          <w:tab w:val="left" w:pos="0" w:leader="none"/>
        </w:tabs>
        <w:spacing w:before="0" w:after="0"/>
        <w:ind w:hanging="0" w:start="0" w:end="0"/>
        <w:jc w:val="start"/>
        <w:rPr>
          <w:b/>
          <w:bCs/>
          <w:u w:val="single"/>
        </w:rPr>
      </w:pPr>
      <w:r>
        <w:rPr>
          <w:b/>
          <w:bCs/>
          <w:u w:val="single"/>
        </w:rPr>
        <w:t>Independent Amount.</w:t>
      </w:r>
    </w:p>
    <w:p>
      <w:pPr>
        <w:pStyle w:val="coverbody"/>
        <w:spacing w:before="0" w:after="0"/>
        <w:rPr>
          <w:b/>
          <w:bCs/>
          <w:u w:val="single"/>
        </w:rPr>
      </w:pPr>
      <w:r>
        <w:rPr>
          <w:b/>
          <w:bCs/>
          <w:u w:val="single"/>
        </w:rPr>
      </w:r>
    </w:p>
    <w:p>
      <w:pPr>
        <w:pStyle w:val="coverbody"/>
        <w:numPr>
          <w:ilvl w:val="0"/>
          <w:numId w:val="14"/>
        </w:numPr>
        <w:spacing w:before="0" w:after="0"/>
        <w:rPr>
          <w:b/>
          <w:bCs/>
          <w:u w:val="single"/>
        </w:rPr>
      </w:pPr>
      <w:r>
        <w:rPr>
          <w:b/>
          <w:bCs/>
          <w:u w:val="single"/>
        </w:rPr>
        <w:t>Party A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Fixed Independent Amount of $______________.   If the Fixed Independent Amount option is selected for Party A, then Party A will be required to post to Party B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A’s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to the Net Exposure calculation by Party B.</w:t>
      </w:r>
    </w:p>
    <w:p>
      <w:pPr>
        <w:pStyle w:val="coverbody"/>
        <w:spacing w:before="0" w:after="0"/>
        <w:ind w:start="144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A shall have a Partial Floating Independent Amount of $______________.   If the Partial Floating Independent Amount option is selected for Party A, then Party A will be required to post to Party B Performance Assurance in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be posted to Party B so long as Party A has a Collateral Requirement (not taking into consideration the Partial Floating Independent Amount).   The Partial Floating Independent Amount shall not be considered as posted collateral when calculating a Party’s Collateral Requirements pursuant to the Collateral Annex.   Except as expressly set forth above, the Partial Floating IA Performance Assurance shall be held and maintained in accordance with the Collateral Annex.</w:t>
      </w:r>
    </w:p>
    <w:p>
      <w:pPr>
        <w:pStyle w:val="coverbody"/>
        <w:spacing w:before="0" w:after="0"/>
        <w:rPr/>
      </w:pPr>
      <w:r>
        <w:rPr/>
      </w:r>
    </w:p>
    <w:p>
      <w:pPr>
        <w:pStyle w:val="coverbody"/>
        <w:numPr>
          <w:ilvl w:val="0"/>
          <w:numId w:val="17"/>
        </w:numPr>
        <w:spacing w:before="0" w:after="0"/>
        <w:rPr>
          <w:b/>
          <w:bCs/>
          <w:u w:val="single"/>
        </w:rPr>
      </w:pPr>
      <w:r>
        <w:rPr>
          <w:b/>
          <w:bCs/>
          <w:u w:val="single"/>
        </w:rPr>
        <w:t>Party B Independent Amount.</w:t>
      </w:r>
    </w:p>
    <w:p>
      <w:pPr>
        <w:pStyle w:val="coverbody"/>
        <w:spacing w:before="0" w:after="0"/>
        <w:ind w:start="720" w:end="0"/>
        <w:rPr>
          <w:b/>
          <w:bCs/>
          <w:u w:val="single"/>
        </w:rPr>
      </w:pPr>
      <w:r>
        <w:rPr>
          <w:b/>
          <w:bCs/>
          <w:u w:val="single"/>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Fixed Independent Amount of $______________.    If the Fixed Independent Amount Option is selected for Party B, then Party B will be required to post to Party A Performance Assurance in the amount of such Independent Amount (the “Fixed IA Performance Assurance”).   The Fixed IA Performance Assurance shall be posted for so long as there are any outstanding obligations between the Parties as a result of the Agreement, and shall not be considered as posted collateral when calculating Party B’s Collateral Requirement pursuant to the Collateral Annex.         Except as expressly set forth above, the Fixed IA Performance Assurance shall be held and maintained in accordance with the Collateral Annex.</w:t>
      </w:r>
    </w:p>
    <w:p>
      <w:pPr>
        <w:pStyle w:val="coverbody"/>
        <w:spacing w:before="0" w:after="0"/>
        <w:ind w:firstLine="720" w:start="720" w:end="0"/>
        <w:rPr/>
      </w:pPr>
      <w:r>
        <w:rPr/>
      </w:r>
    </w:p>
    <w:p>
      <w:pPr>
        <w:pStyle w:val="coverbody"/>
        <w:numPr>
          <w:ilvl w:val="0"/>
          <w:numId w:val="13"/>
        </w:numPr>
        <w:spacing w:before="0" w:after="0"/>
        <w:rPr/>
      </w:pPr>
      <w:r>
        <w:rPr>
          <w:bCs/>
        </w:rPr>
        <w:t>P</w:t>
      </w:r>
      <w:r>
        <w:rPr/>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to the Net Exposure calculation by Party A.</w:t>
      </w:r>
    </w:p>
    <w:p>
      <w:pPr>
        <w:pStyle w:val="coverbody"/>
        <w:spacing w:before="0" w:after="0"/>
        <w:ind w:firstLine="720" w:start="720" w:end="0"/>
        <w:rPr/>
      </w:pPr>
      <w:r>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w:t>
      </w:r>
      <w:r>
        <w:rPr/>
        <w:t>arty B shall have a Partial Floating Independent Amount of $______________.     If the Partial Floating Independent Amount option is selected for Party B, then Party B will be required to post to Party A Performance Assurance in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be posted so long as Party B has a Collateral Requirement (not taking into consideration the Partial Floating Independent Amount).   The Partial Floating Independent Amount shall not be considered as posted to Party B collateral when calculating a Party’s Collateral Requirements pursuant to the Collateral Annex.   Except as expressly set forth above, the Partial Floating Independent Amount shall be held and maintained in accordance with the Collateral Annex.</w:t>
      </w:r>
    </w:p>
    <w:p>
      <w:pPr>
        <w:pStyle w:val="coverbody"/>
        <w:spacing w:before="0" w:after="0"/>
        <w:rPr>
          <w:b/>
          <w:bCs/>
        </w:rPr>
      </w:pPr>
      <w:r>
        <w:rPr>
          <w:b/>
          <w:bCs/>
        </w:rPr>
      </w:r>
    </w:p>
    <w:p>
      <w:pPr>
        <w:pStyle w:val="coverbody"/>
        <w:spacing w:before="0" w:after="0"/>
        <w:rPr>
          <w:b/>
          <w:bCs/>
        </w:rPr>
      </w:pPr>
      <w:r>
        <w:rPr>
          <w:b/>
          <w:bCs/>
        </w:rPr>
      </w:r>
    </w:p>
    <w:p>
      <w:pPr>
        <w:pStyle w:val="coverbody"/>
        <w:spacing w:before="0" w:after="0"/>
        <w:rPr>
          <w:b/>
          <w:bCs/>
        </w:rPr>
      </w:pPr>
      <w:r>
        <w:rPr>
          <w:b/>
          <w:bCs/>
        </w:rPr>
        <w:t>IV.</w:t>
        <w:tab/>
      </w:r>
      <w:r>
        <w:rPr>
          <w:b/>
          <w:bCs/>
          <w:u w:val="single"/>
        </w:rPr>
        <w:t>Minimum Transfer Amount.</w:t>
      </w:r>
    </w:p>
    <w:p>
      <w:pPr>
        <w:pStyle w:val="coverbody"/>
        <w:spacing w:before="0" w:after="0"/>
        <w:rPr>
          <w:b/>
          <w:bCs/>
        </w:rPr>
      </w:pPr>
      <w:r>
        <w:rPr>
          <w:b/>
          <w:bCs/>
        </w:rPr>
      </w:r>
    </w:p>
    <w:p>
      <w:pPr>
        <w:pStyle w:val="coverbody"/>
        <w:spacing w:before="0" w:after="0"/>
        <w:ind w:firstLine="720" w:end="0"/>
        <w:rPr/>
      </w:pPr>
      <w:r>
        <w:rPr>
          <w:b/>
          <w:bCs/>
        </w:rPr>
        <w:t>A.</w:t>
        <w:tab/>
      </w:r>
      <w:r>
        <w:rPr>
          <w:b/>
          <w:bCs/>
          <w:u w:val="single"/>
        </w:rPr>
        <w:t>Party A Minimum Transfer Amount:</w:t>
      </w:r>
      <w:r>
        <w:rPr/>
        <w:tab/>
        <w:t>$0</w:t>
      </w:r>
    </w:p>
    <w:p>
      <w:pPr>
        <w:pStyle w:val="coverbody"/>
        <w:spacing w:before="0" w:after="0"/>
        <w:rPr/>
      </w:pPr>
      <w:r>
        <w:rPr/>
      </w:r>
    </w:p>
    <w:p>
      <w:pPr>
        <w:pStyle w:val="coverbody"/>
        <w:spacing w:before="0" w:after="0"/>
        <w:ind w:firstLine="720" w:end="0"/>
        <w:rPr/>
      </w:pPr>
      <w:r>
        <w:rPr>
          <w:b/>
          <w:bCs/>
        </w:rPr>
        <w:t>B.</w:t>
        <w:tab/>
      </w:r>
      <w:r>
        <w:rPr>
          <w:b/>
          <w:bCs/>
          <w:u w:val="single"/>
        </w:rPr>
        <w:t>Party B Minimum Transfer Amount:</w:t>
      </w:r>
      <w:r>
        <w:rPr/>
        <w:tab/>
        <w:t>$0</w:t>
      </w:r>
    </w:p>
    <w:p>
      <w:pPr>
        <w:pStyle w:val="coverbody"/>
        <w:spacing w:before="0" w:after="0"/>
        <w:rPr/>
      </w:pPr>
      <w:r>
        <w:rPr/>
      </w:r>
    </w:p>
    <w:p>
      <w:pPr>
        <w:pStyle w:val="coverbody"/>
        <w:spacing w:before="0" w:after="0"/>
        <w:rPr/>
      </w:pPr>
      <w:r>
        <w:rPr/>
      </w:r>
    </w:p>
    <w:p>
      <w:pPr>
        <w:pStyle w:val="coverbody"/>
        <w:spacing w:before="0" w:after="0"/>
        <w:rPr>
          <w:b/>
          <w:bCs/>
        </w:rPr>
      </w:pPr>
      <w:r>
        <w:rPr>
          <w:b/>
          <w:bCs/>
        </w:rPr>
        <w:t>V.</w:t>
        <w:tab/>
      </w:r>
      <w:r>
        <w:rPr>
          <w:b/>
          <w:bCs/>
          <w:u w:val="single"/>
        </w:rPr>
        <w:t>Rounding Amount.</w:t>
      </w:r>
    </w:p>
    <w:p>
      <w:pPr>
        <w:pStyle w:val="coverbody"/>
        <w:spacing w:before="0" w:after="0"/>
        <w:rPr>
          <w:b/>
          <w:bCs/>
        </w:rPr>
      </w:pPr>
      <w:r>
        <w:rPr>
          <w:b/>
          <w:bCs/>
        </w:rPr>
      </w:r>
    </w:p>
    <w:p>
      <w:pPr>
        <w:pStyle w:val="coverbody"/>
        <w:spacing w:before="0" w:after="0"/>
        <w:ind w:start="720" w:end="0"/>
        <w:rPr/>
      </w:pPr>
      <w:r>
        <w:rPr>
          <w:b/>
          <w:bCs/>
        </w:rPr>
        <w:t>A.</w:t>
        <w:tab/>
      </w:r>
      <w:r>
        <w:rPr>
          <w:b/>
          <w:bCs/>
          <w:u w:val="single"/>
        </w:rPr>
        <w:t>Party A Rounding Amount:</w:t>
      </w:r>
      <w:r>
        <w:rPr/>
        <w:tab/>
        <w:t>$250,000</w:t>
      </w:r>
    </w:p>
    <w:p>
      <w:pPr>
        <w:pStyle w:val="coverbody"/>
        <w:spacing w:before="0" w:after="0"/>
        <w:rPr/>
      </w:pPr>
      <w:r>
        <w:rPr/>
      </w:r>
    </w:p>
    <w:p>
      <w:pPr>
        <w:pStyle w:val="coverbody"/>
        <w:spacing w:before="0" w:after="0"/>
        <w:ind w:firstLine="720" w:end="0"/>
        <w:rPr/>
      </w:pPr>
      <w:r>
        <w:rPr>
          <w:b/>
          <w:bCs/>
        </w:rPr>
        <w:t>B.</w:t>
        <w:tab/>
      </w:r>
      <w:r>
        <w:rPr>
          <w:b/>
          <w:bCs/>
          <w:u w:val="single"/>
        </w:rPr>
        <w:t>Party B Rounding Amount:</w:t>
      </w:r>
      <w:r>
        <w:rPr/>
        <w:tab/>
        <w:t>$250,000</w:t>
      </w:r>
    </w:p>
    <w:p>
      <w:pPr>
        <w:pStyle w:val="coverbody"/>
        <w:spacing w:before="0" w:after="0"/>
        <w:rPr/>
      </w:pPr>
      <w:r>
        <w:rPr/>
      </w:r>
    </w:p>
    <w:p>
      <w:pPr>
        <w:pStyle w:val="coverbody"/>
        <w:spacing w:before="0" w:after="0"/>
        <w:rPr/>
      </w:pPr>
      <w:r>
        <w:rPr/>
      </w:r>
    </w:p>
    <w:p>
      <w:pPr>
        <w:pStyle w:val="coverbody"/>
        <w:spacing w:before="0" w:after="0"/>
        <w:rPr>
          <w:b/>
          <w:bCs/>
        </w:rPr>
      </w:pPr>
      <w:r>
        <w:rPr>
          <w:b/>
          <w:bCs/>
        </w:rPr>
        <w:t>VI.</w:t>
        <w:tab/>
      </w:r>
      <w:r>
        <w:rPr>
          <w:b/>
          <w:bCs/>
          <w:u w:val="single"/>
        </w:rPr>
        <w:t>Administration of Cash Collateral.</w:t>
      </w:r>
    </w:p>
    <w:p>
      <w:pPr>
        <w:pStyle w:val="coverbody"/>
        <w:spacing w:before="0" w:after="0"/>
        <w:rPr>
          <w:b/>
          <w:bCs/>
        </w:rPr>
      </w:pPr>
      <w:r>
        <w:rPr>
          <w:b/>
          <w:bCs/>
        </w:rPr>
      </w:r>
    </w:p>
    <w:p>
      <w:pPr>
        <w:pStyle w:val="coverbody"/>
        <w:spacing w:before="0" w:after="0"/>
        <w:rPr>
          <w:b/>
          <w:bCs/>
        </w:rPr>
      </w:pPr>
      <w:r>
        <w:rPr>
          <w:b/>
          <w:bCs/>
        </w:rPr>
        <w:tab/>
        <w:t>A.</w:t>
        <w:tab/>
      </w:r>
      <w:r>
        <w:rPr>
          <w:b/>
          <w:bCs/>
          <w:u w:val="single"/>
        </w:rPr>
        <w:t>Party A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A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rPr>
        <w:sym w:font="Wingdings 2" w:char="f054"/>
      </w:r>
      <w:r>
        <w:rPr>
          <w:b/>
          <w:bCs/>
          <w:sz w:val="20"/>
        </w:rPr>
        <w:tab/>
      </w:r>
      <w:r>
        <w:rPr>
          <w:bCs/>
          <w:sz w:val="20"/>
        </w:rPr>
        <w:t xml:space="preserve">Party A shall be entitled to hold Performance Assurance in the form of Cash </w:t>
      </w:r>
      <w:r>
        <w:rPr>
          <w:sz w:val="20"/>
        </w:rPr>
        <w:t>provided that the following conditions are satisfied:  (1) it is not a Defaulting Party, (2) Enron Corp. has a Credit Rating from S&amp;P and the lowest Credit Rating for Enron Corp. is BBB- or higher by S&amp;P; (3) Cash shall be held only in any jurisdiction within the United States.  To the extent Party A is entitled to hold Cash, the Interest Rate payable to Party B on Cash shall be as selected below:</w:t>
      </w:r>
    </w:p>
    <w:p>
      <w:pPr>
        <w:pStyle w:val="coverbody"/>
        <w:spacing w:before="0" w:after="0"/>
        <w:rPr>
          <w:bCs/>
          <w:sz w:val="20"/>
        </w:rPr>
      </w:pPr>
      <w:r>
        <w:rPr>
          <w:bCs/>
          <w:sz w:val="20"/>
        </w:rPr>
      </w:r>
    </w:p>
    <w:p>
      <w:pPr>
        <w:pStyle w:val="coverbody"/>
        <w:spacing w:before="0" w:after="0"/>
        <w:ind w:firstLine="720" w:start="2160" w:end="0"/>
        <w:rPr>
          <w:b/>
          <w:bCs/>
        </w:rPr>
      </w:pPr>
      <w:r>
        <w:rPr>
          <w:b/>
          <w:bCs/>
          <w:u w:val="single"/>
        </w:rPr>
        <w:t>Party A Interest Rate.</w:t>
      </w:r>
    </w:p>
    <w:p>
      <w:pPr>
        <w:pStyle w:val="Normal"/>
        <w:jc w:val="both"/>
        <w:rPr>
          <w:b/>
          <w:bCs/>
          <w:sz w:val="20"/>
        </w:rPr>
      </w:pPr>
      <w:r>
        <w:rPr>
          <w:b/>
          <w:bCs/>
          <w:sz w:val="20"/>
        </w:rPr>
      </w:r>
    </w:p>
    <w:p>
      <w:pPr>
        <w:pStyle w:val="Normal"/>
        <w:ind w:hanging="720" w:start="3600" w:end="0"/>
        <w:jc w:val="both"/>
        <w:rPr/>
      </w:pPr>
      <w:r>
        <w:rPr>
          <w:rFonts w:eastAsia="Wingdings 2" w:cs="Wingdings 2" w:ascii="Wingdings 2" w:hAnsi="Wingdings 2"/>
          <w:b/>
          <w:bCs/>
          <w:sz w:val="20"/>
        </w:rPr>
        <w:sym w:font="Wingdings 2" w:char="f054"/>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bCs/>
        </w:rPr>
      </w:pPr>
      <w:r>
        <w:rPr>
          <w:b/>
          <w:bCs/>
        </w:rPr>
      </w:r>
    </w:p>
    <w:p>
      <w:pPr>
        <w:pStyle w:val="coverbody"/>
        <w:spacing w:before="0" w:after="0"/>
        <w:ind w:firstLine="720" w:end="0"/>
        <w:rPr>
          <w:b/>
          <w:bCs/>
        </w:rPr>
      </w:pPr>
      <w:r>
        <w:rPr>
          <w:b/>
          <w:bCs/>
        </w:rPr>
        <w:t>B.</w:t>
        <w:tab/>
      </w:r>
      <w:r>
        <w:rPr>
          <w:b/>
          <w:bCs/>
          <w:u w:val="single"/>
        </w:rPr>
        <w:t>Party B Eligibility to Hold Cash.</w:t>
      </w:r>
    </w:p>
    <w:p>
      <w:pPr>
        <w:pStyle w:val="coverbody"/>
        <w:spacing w:before="0" w:after="0"/>
        <w:rPr>
          <w:b/>
          <w:bCs/>
        </w:rPr>
      </w:pPr>
      <w:r>
        <w:rPr>
          <w:b/>
          <w:bCs/>
        </w:rPr>
      </w:r>
    </w:p>
    <w:p>
      <w:pPr>
        <w:pStyle w:val="coverbody"/>
        <w:spacing w:before="0" w:after="0"/>
        <w:ind w:hanging="720" w:start="2160" w:end="0"/>
        <w:rPr/>
      </w:pPr>
      <w:r>
        <w:rPr>
          <w:rFonts w:eastAsia="Wingdings 2" w:cs="Wingdings 2" w:ascii="Wingdings 2" w:hAnsi="Wingdings 2"/>
          <w:b/>
          <w:bCs/>
        </w:rPr>
        <w:sym w:font="Wingdings 2" w:char="f02a"/>
      </w:r>
      <w:r>
        <w:rPr>
          <w:b/>
          <w:bCs/>
        </w:rPr>
        <w:tab/>
      </w:r>
      <w:r>
        <w:rPr>
          <w:bCs/>
        </w:rPr>
        <w:t>Party B shall not be entitled to hold Performance Assurance in the form of Cash.  Performance Assurance in the form of Cash shall be held in a Qualified Institution in accordance with the provisions of Paragraph 6(a)(ii)(B) of the Collateral Annex.</w:t>
      </w:r>
    </w:p>
    <w:p>
      <w:pPr>
        <w:pStyle w:val="coverbody"/>
        <w:spacing w:before="0" w:after="0"/>
        <w:ind w:start="1440" w:end="0"/>
        <w:rPr>
          <w:bCs/>
        </w:rPr>
      </w:pPr>
      <w:r>
        <w:rPr>
          <w:bCs/>
        </w:rPr>
      </w:r>
    </w:p>
    <w:p>
      <w:pPr>
        <w:pStyle w:val="Normal"/>
        <w:ind w:hanging="720" w:start="2160" w:end="0"/>
        <w:jc w:val="both"/>
        <w:rPr/>
      </w:pPr>
      <w:r>
        <w:rPr>
          <w:rFonts w:eastAsia="Wingdings 2" w:cs="Wingdings 2" w:ascii="Wingdings 2" w:hAnsi="Wingdings 2"/>
          <w:b/>
          <w:bCs/>
        </w:rPr>
        <w:sym w:font="Wingdings 2" w:char="f054"/>
      </w:r>
      <w:r>
        <w:rPr>
          <w:b/>
          <w:bCs/>
          <w:sz w:val="20"/>
        </w:rPr>
        <w:tab/>
      </w:r>
      <w:r>
        <w:rPr>
          <w:bCs/>
          <w:sz w:val="20"/>
        </w:rPr>
        <w:t xml:space="preserve">Party B shall be entitled to hold Performance Assurance in the form of Cash </w:t>
      </w:r>
      <w:r>
        <w:rPr>
          <w:sz w:val="20"/>
        </w:rPr>
        <w:t>provided that the following conditions are satisfied:  (1) it is not a Defaulting Party, (2) Each of PSI Energy, Inc. and The Cincinnati Gas &amp; Electric Company has a Credit Rating from S&amp;P and the lowest Credit Rating for each of PSI Energy, Inc. and The Cincinnati Gas &amp; Electric Company is BBB- or higher by S&amp;P; (3) Cash shall be held only in any jurisdiction within the United States.  To the extent Party B is entitled to hold Cash, the Interest Rate payable to Party A on Cash shall be as selected below:</w:t>
      </w:r>
    </w:p>
    <w:p>
      <w:pPr>
        <w:pStyle w:val="Normal"/>
        <w:ind w:hanging="720" w:start="2880" w:end="0"/>
        <w:jc w:val="both"/>
        <w:rPr>
          <w:sz w:val="20"/>
        </w:rPr>
      </w:pPr>
      <w:r>
        <w:rPr>
          <w:sz w:val="20"/>
        </w:rPr>
      </w:r>
    </w:p>
    <w:p>
      <w:pPr>
        <w:pStyle w:val="coverbody"/>
        <w:spacing w:before="0" w:after="0"/>
        <w:ind w:firstLine="720" w:start="2160" w:end="0"/>
        <w:rPr>
          <w:b/>
          <w:bCs/>
        </w:rPr>
      </w:pPr>
      <w:r>
        <w:rPr>
          <w:b/>
          <w:bCs/>
          <w:u w:val="single"/>
        </w:rPr>
        <w:t>Party B Interest Rate.</w:t>
      </w:r>
    </w:p>
    <w:p>
      <w:pPr>
        <w:pStyle w:val="coverbody"/>
        <w:spacing w:before="0" w:after="0"/>
        <w:rPr>
          <w:b/>
          <w:bCs/>
        </w:rPr>
      </w:pPr>
      <w:r>
        <w:rPr>
          <w:b/>
          <w:bCs/>
        </w:rPr>
      </w:r>
    </w:p>
    <w:p>
      <w:pPr>
        <w:pStyle w:val="Normal"/>
        <w:ind w:hanging="720" w:start="3600" w:end="0"/>
        <w:jc w:val="both"/>
        <w:rPr/>
      </w:pPr>
      <w:r>
        <w:rPr>
          <w:rFonts w:eastAsia="Wingdings 2" w:cs="Wingdings 2" w:ascii="Wingdings 2" w:hAnsi="Wingdings 2"/>
          <w:b/>
          <w:bCs/>
          <w:sz w:val="20"/>
        </w:rPr>
        <w:sym w:font="Wingdings 2" w:char="f054"/>
      </w:r>
      <w:r>
        <w:rPr>
          <w:b/>
          <w:bCs/>
          <w:sz w:val="20"/>
        </w:rPr>
        <w:tab/>
      </w:r>
      <w:r>
        <w:rPr>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spacing w:before="0" w:after="0"/>
        <w:rPr>
          <w:sz w:val="20"/>
        </w:rPr>
      </w:pPr>
      <w:r>
        <w:rPr>
          <w:sz w:val="20"/>
        </w:rPr>
      </w:r>
    </w:p>
    <w:p>
      <w:pPr>
        <w:pStyle w:val="coverbody"/>
        <w:spacing w:before="0" w:after="0"/>
        <w:ind w:firstLine="720" w:start="216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w:t>
        <w:tab/>
      </w:r>
      <w:r>
        <w:rPr>
          <w:b/>
          <w:u w:val="single"/>
        </w:rPr>
        <w:t>Notification Time.</w:t>
      </w:r>
    </w:p>
    <w:p>
      <w:pPr>
        <w:pStyle w:val="coverbody"/>
        <w:spacing w:before="0" w:after="0"/>
        <w:rPr>
          <w:b/>
          <w:bCs/>
        </w:rPr>
      </w:pPr>
      <w:r>
        <w:rPr>
          <w:b/>
          <w:bCs/>
        </w:rPr>
      </w:r>
    </w:p>
    <w:p>
      <w:pPr>
        <w:pStyle w:val="coverbody"/>
        <w:spacing w:before="0" w:after="0"/>
        <w:ind w:firstLine="720" w:end="0"/>
        <w:rPr/>
      </w:pPr>
      <w:r>
        <w:rPr>
          <w:rFonts w:eastAsia="Wingdings 2" w:cs="Wingdings 2" w:ascii="Wingdings 2" w:hAnsi="Wingdings 2"/>
          <w:b/>
          <w:bCs/>
        </w:rPr>
        <w:sym w:font="Wingdings 2" w:char="f02a"/>
      </w:r>
      <w:r>
        <w:rPr>
          <w:b/>
          <w:bCs/>
        </w:rPr>
        <w:tab/>
      </w:r>
      <w:r>
        <w:rPr/>
        <w:t>Other - ____________</w:t>
      </w:r>
    </w:p>
    <w:p>
      <w:pPr>
        <w:pStyle w:val="coverbody"/>
        <w:spacing w:before="0" w:after="0"/>
        <w:rPr>
          <w:b/>
        </w:rPr>
      </w:pPr>
      <w:r>
        <w:rPr>
          <w:b/>
        </w:rPr>
      </w:r>
    </w:p>
    <w:p>
      <w:pPr>
        <w:pStyle w:val="coverbody"/>
        <w:spacing w:before="0" w:after="0"/>
        <w:rPr>
          <w:b/>
        </w:rPr>
      </w:pPr>
      <w:r>
        <w:rPr>
          <w:b/>
        </w:rPr>
      </w:r>
    </w:p>
    <w:p>
      <w:pPr>
        <w:pStyle w:val="coverbody"/>
        <w:spacing w:before="0" w:after="0"/>
        <w:rPr>
          <w:b/>
        </w:rPr>
      </w:pPr>
      <w:r>
        <w:rPr>
          <w:b/>
        </w:rPr>
        <w:t>VIII.</w:t>
        <w:tab/>
      </w:r>
      <w:r>
        <w:rPr>
          <w:b/>
          <w:u w:val="single"/>
        </w:rPr>
        <w:t>General.</w:t>
      </w:r>
    </w:p>
    <w:p>
      <w:pPr>
        <w:pStyle w:val="coverbody"/>
        <w:spacing w:before="0" w:after="0"/>
        <w:rPr>
          <w:b/>
        </w:rPr>
      </w:pPr>
      <w:r>
        <w:rPr>
          <w:b/>
        </w:rPr>
      </w:r>
    </w:p>
    <w:p>
      <w:pPr>
        <w:pStyle w:val="coverbody"/>
        <w:spacing w:before="0" w:after="0"/>
        <w:ind w:start="720" w:end="0"/>
        <w:rPr>
          <w:b/>
        </w:rPr>
      </w:pPr>
      <w:r>
        <w:rPr>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spacing w:before="0" w:after="0"/>
        <w:rPr>
          <w:b/>
        </w:rPr>
      </w:pPr>
      <w:r>
        <w:rPr>
          <w:b/>
        </w:rPr>
      </w:r>
    </w:p>
    <w:sectPr>
      <w:footerReference w:type="default" r:id="rId2"/>
      <w:type w:val="nextPage"/>
      <w:pgSz w:w="12240" w:h="15840"/>
      <w:pgMar w:left="1296" w:right="1440" w:gutter="0" w:header="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2">
    <w:charset w:val="0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/mnt/main-storage/datasets/enron-docs/doc/Cinergy_Services_CSA_Paragraph_10.doc</w:t>
    </w:r>
    <w:r>
      <w:rPr>
        <w:rStyle w:val="PageNumber"/>
        <w:sz w:val="16"/>
      </w:rPr>
      <w:fldChar w:fldCharType="end"/>
    </w:r>
  </w:p>
  <w:p>
    <w:pPr>
      <w:pStyle w:val="Footer"/>
      <w:jc w:val="center"/>
      <w:rPr/>
    </w:pPr>
    <w:r>
      <w:rPr>
        <w:rStyle w:val="PageNumber"/>
        <w:sz w:val="18"/>
      </w:rPr>
      <w:t xml:space="preserv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5</w:t>
    </w:r>
    <w:r>
      <w:rPr>
        <w:rStyle w:val="PageNumber"/>
        <w:sz w:val="18"/>
      </w:rPr>
      <w:fldChar w:fldCharType="end"/>
    </w:r>
    <w:r>
      <w:rPr>
        <w:rStyle w:val="PageNumber"/>
        <w:sz w:val="1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Letter"/>
      <w:lvlText w:val="%1."/>
      <w:lvlJc w:val="start"/>
      <w:pPr>
        <w:tabs>
          <w:tab w:val="num" w:pos="1440"/>
        </w:tabs>
        <w:ind w:start="1440" w:hanging="720"/>
      </w:pPr>
      <w:rPr/>
    </w:lvl>
  </w:abstractNum>
  <w:abstractNum w:abstractNumId="13">
    <w:lvl w:ilvl="0">
      <w:start w:val="1"/>
      <w:numFmt w:val="bullet"/>
      <w:lvlText w:val=""/>
      <w:lvlJc w:val="start"/>
      <w:pPr>
        <w:tabs>
          <w:tab w:val="num" w:pos="2160"/>
        </w:tabs>
        <w:ind w:start="2160" w:hanging="720"/>
      </w:pPr>
      <w:rPr>
        <w:rFonts w:ascii="Wingdings 2" w:hAnsi="Wingdings 2" w:cs="Wingdings 2" w:hint="default"/>
        <w:b/>
      </w:rPr>
    </w:lvl>
  </w:abstractNum>
  <w:abstractNum w:abstractNumId="14">
    <w:lvl w:ilvl="0">
      <w:start w:val="1"/>
      <w:numFmt w:val="upperLetter"/>
      <w:lvlText w:val="%1."/>
      <w:lvlJc w:val="start"/>
      <w:pPr>
        <w:tabs>
          <w:tab w:val="num" w:pos="1440"/>
        </w:tabs>
        <w:ind w:start="1440" w:hanging="720"/>
      </w:pPr>
      <w:rPr>
        <w:i w:val="false"/>
        <w:u w:val="none"/>
        <w:b/>
      </w:rPr>
    </w:lvl>
  </w:abstractNum>
  <w:abstractNum w:abstractNumId="15">
    <w:lvl w:ilvl="0">
      <w:start w:val="1"/>
      <w:numFmt w:val="upperRoman"/>
      <w:lvlText w:val="%1."/>
      <w:lvlJc w:val="start"/>
      <w:pPr>
        <w:tabs>
          <w:tab w:val="num" w:pos="1440"/>
        </w:tabs>
        <w:ind w:start="1440" w:hanging="720"/>
      </w:pPr>
      <w:rPr>
        <w:i w:val="false"/>
        <w:b/>
      </w:rPr>
    </w:lvl>
  </w:abstractNum>
  <w:abstractNum w:abstractNumId="16">
    <w:lvl w:ilvl="0">
      <w:start w:val="2"/>
      <w:numFmt w:val="upperLetter"/>
      <w:lvlText w:val="%1."/>
      <w:lvlJc w:val="start"/>
      <w:pPr>
        <w:tabs>
          <w:tab w:val="num" w:pos="1440"/>
        </w:tabs>
        <w:ind w:start="1440" w:hanging="720"/>
      </w:pPr>
      <w:rPr/>
    </w:lvl>
  </w:abstractNum>
  <w:abstractNum w:abstractNumId="17">
    <w:lvl w:ilvl="0">
      <w:start w:val="2"/>
      <w:numFmt w:val="upperLetter"/>
      <w:lvlText w:val="%1."/>
      <w:lvlJc w:val="start"/>
      <w:pPr>
        <w:tabs>
          <w:tab w:val="num" w:pos="1440"/>
        </w:tabs>
        <w:ind w:start="144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widowControl w:val="false"/>
      <w:spacing w:before="240" w:after="60"/>
      <w:outlineLvl w:val="7"/>
    </w:pPr>
    <w:rPr>
      <w:rFonts w:ascii="Arial" w:hAnsi="Arial" w:cs="Arial"/>
      <w:i/>
      <w:sz w:val="20"/>
      <w:szCs w:val="20"/>
    </w:rPr>
  </w:style>
  <w:style w:type="paragraph" w:styleId="Heading9">
    <w:name w:val="heading 9"/>
    <w:basedOn w:val="Normal"/>
    <w:next w:val="Normal"/>
    <w:qFormat/>
    <w:pPr>
      <w:widowControl w:val="false"/>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z w:val="20"/>
    </w:rPr>
  </w:style>
  <w:style w:type="character" w:styleId="WW8Num12z0">
    <w:name w:val="WW8Num12z0"/>
    <w:qFormat/>
    <w:rPr/>
  </w:style>
  <w:style w:type="character" w:styleId="WW8Num13z0">
    <w:name w:val="WW8Num13z0"/>
    <w:qFormat/>
    <w:rPr>
      <w:b/>
    </w:rPr>
  </w:style>
  <w:style w:type="character" w:styleId="WW8Num14z0">
    <w:name w:val="WW8Num14z0"/>
    <w:qFormat/>
    <w:rPr/>
  </w:style>
  <w:style w:type="character" w:styleId="WW8Num16z0">
    <w:name w:val="WW8Num16z0"/>
    <w:qFormat/>
    <w:rPr/>
  </w:style>
  <w:style w:type="character" w:styleId="WW8Num17z0">
    <w:name w:val="WW8Num17z0"/>
    <w:qFormat/>
    <w:rPr>
      <w:b/>
      <w:sz w:val="22"/>
    </w:rPr>
  </w:style>
  <w:style w:type="character" w:styleId="WW8Num18z0">
    <w:name w:val="WW8Num18z0"/>
    <w:qFormat/>
    <w:rPr>
      <w:rFonts w:ascii="Wingdings 2" w:hAnsi="Wingdings 2"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b/>
      <w:sz w:val="22"/>
    </w:rPr>
  </w:style>
  <w:style w:type="character" w:styleId="WW8Num20z0">
    <w:name w:val="WW8Num20z0"/>
    <w:qFormat/>
    <w:rPr>
      <w:rFonts w:ascii="Wingdings 2" w:hAnsi="Wingdings 2" w:eastAsia="Times New Roman" w:cs="Times New Roman"/>
      <w:b/>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Wingdings 2" w:hAnsi="Wingdings 2" w:eastAsia="Times New Roman" w:cs="Times New Roman"/>
      <w:b/>
      <w:sz w:val="32"/>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b w:val="false"/>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rFonts w:ascii="Wingdings 2" w:hAnsi="Wingdings 2" w:eastAsia="Times New Roman" w:cs="Times New Roman"/>
      <w:b/>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style>
  <w:style w:type="character" w:styleId="WW8Num29z1">
    <w:name w:val="WW8Num29z1"/>
    <w:qFormat/>
    <w:rPr>
      <w:rFonts w:ascii="Times New Roman" w:hAnsi="Times New Roman" w:cs="Times New Roman"/>
      <w:b w:val="false"/>
      <w:i w:val="false"/>
      <w:sz w:val="24"/>
      <w:u w:val="none"/>
    </w:rPr>
  </w:style>
  <w:style w:type="character" w:styleId="WW8Num29z2">
    <w:name w:val="WW8Num29z2"/>
    <w:qFormat/>
    <w:rPr>
      <w:rFonts w:ascii="Times New Roman" w:hAnsi="Times New Roman" w:cs="Times New Roman"/>
      <w:b w:val="false"/>
      <w:i w:val="false"/>
      <w:sz w:val="24"/>
    </w:rPr>
  </w:style>
  <w:style w:type="character" w:styleId="WW8Num29z5">
    <w:name w:val="WW8Num29z5"/>
    <w:qFormat/>
    <w:rPr>
      <w:rFonts w:ascii="Times New Roman" w:hAnsi="Times New Roman" w:cs="Times New Roman"/>
      <w:b/>
      <w:i w:val="false"/>
      <w:sz w:val="24"/>
      <w:u w:val="none"/>
    </w:rPr>
  </w:style>
  <w:style w:type="character" w:styleId="WW8Num30z0">
    <w:name w:val="WW8Num30z0"/>
    <w:qFormat/>
    <w:rPr>
      <w:rFonts w:ascii="Wingdings 2" w:hAnsi="Wingdings 2" w:eastAsia="Times New Roman" w:cs="Times New Roman"/>
      <w:b/>
      <w:sz w:val="32"/>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b/>
    </w:rPr>
  </w:style>
  <w:style w:type="character" w:styleId="WW8Num34z0">
    <w:name w:val="WW8Num34z0"/>
    <w:qFormat/>
    <w:rPr>
      <w:b/>
      <w:i w:val="false"/>
      <w:u w:val="none"/>
    </w:rPr>
  </w:style>
  <w:style w:type="character" w:styleId="WW8Num35z0">
    <w:name w:val="WW8Num35z0"/>
    <w:qFormat/>
    <w:rPr/>
  </w:style>
  <w:style w:type="character" w:styleId="WW8Num36z0">
    <w:name w:val="WW8Num36z0"/>
    <w:qFormat/>
    <w:rPr>
      <w:b w:val="false"/>
      <w:i w:val="false"/>
    </w:rPr>
  </w:style>
  <w:style w:type="character" w:styleId="WW8Num37z0">
    <w:name w:val="WW8Num37z0"/>
    <w:qFormat/>
    <w:rPr/>
  </w:style>
  <w:style w:type="character" w:styleId="WW8Num38z0">
    <w:name w:val="WW8Num38z0"/>
    <w:qFormat/>
    <w:rPr>
      <w:b/>
      <w:i w:val="false"/>
    </w:rPr>
  </w:style>
  <w:style w:type="character" w:styleId="WW8Num38z1">
    <w:name w:val="WW8Num38z1"/>
    <w:qFormat/>
    <w:rPr/>
  </w:style>
  <w:style w:type="character" w:styleId="WW8Num40z0">
    <w:name w:val="WW8Num40z0"/>
    <w:qFormat/>
    <w:rPr/>
  </w:style>
  <w:style w:type="character" w:styleId="WW8Num43z0">
    <w:name w:val="WW8Num43z0"/>
    <w:qFormat/>
    <w:rPr/>
  </w:style>
  <w:style w:type="character" w:styleId="WW8Num44z0">
    <w:name w:val="WW8Num44z0"/>
    <w:qFormat/>
    <w:rPr/>
  </w:style>
  <w:style w:type="character" w:styleId="WW8Num44z1">
    <w:name w:val="WW8Num44z1"/>
    <w:qFormat/>
    <w:rPr>
      <w:rFonts w:ascii="Times New Roman" w:hAnsi="Times New Roman" w:cs="Times New Roman"/>
      <w:b w:val="false"/>
      <w:i w:val="false"/>
      <w:sz w:val="24"/>
      <w:u w:val="none"/>
    </w:rPr>
  </w:style>
  <w:style w:type="character" w:styleId="WW8Num44z2">
    <w:name w:val="WW8Num44z2"/>
    <w:qFormat/>
    <w:rPr>
      <w:rFonts w:ascii="Times New Roman" w:hAnsi="Times New Roman" w:cs="Times New Roman"/>
      <w:b w:val="false"/>
      <w:i w:val="false"/>
      <w:sz w:val="24"/>
    </w:rPr>
  </w:style>
  <w:style w:type="character" w:styleId="WW8Num44z5">
    <w:name w:val="WW8Num44z5"/>
    <w:qFormat/>
    <w:rPr>
      <w:rFonts w:ascii="Times New Roman" w:hAnsi="Times New Roman" w:cs="Times New Roman"/>
      <w:b/>
      <w:i w:val="false"/>
      <w:sz w:val="24"/>
      <w:u w:val="none"/>
    </w:rPr>
  </w:style>
  <w:style w:type="character" w:styleId="WW8Num45z0">
    <w:name w:val="WW8Num45z0"/>
    <w:qFormat/>
    <w:rPr/>
  </w:style>
  <w:style w:type="character" w:styleId="WW8Num46z0">
    <w:name w:val="WW8Num46z0"/>
    <w:qFormat/>
    <w:rPr>
      <w:rFonts w:ascii="Times New Roman" w:hAnsi="Times New Roman" w:cs="Times New Roman"/>
      <w:b/>
      <w:i w:val="false"/>
      <w:caps/>
      <w:sz w:val="24"/>
    </w:rPr>
  </w:style>
  <w:style w:type="character" w:styleId="WW8Num46z1">
    <w:name w:val="WW8Num46z1"/>
    <w:qFormat/>
    <w:rPr>
      <w:rFonts w:ascii="Times New Roman" w:hAnsi="Times New Roman" w:cs="Times New Roman"/>
      <w:b w:val="false"/>
      <w:i w:val="false"/>
      <w:sz w:val="24"/>
      <w:u w:val="none"/>
    </w:rPr>
  </w:style>
  <w:style w:type="character" w:styleId="WW8Num46z2">
    <w:name w:val="WW8Num46z2"/>
    <w:qFormat/>
    <w:rPr>
      <w:rFonts w:ascii="Times New Roman" w:hAnsi="Times New Roman" w:cs="Times New Roman"/>
      <w:b w:val="false"/>
      <w:i w:val="false"/>
      <w:sz w:val="24"/>
    </w:rPr>
  </w:style>
  <w:style w:type="character" w:styleId="WW8Num46z5">
    <w:name w:val="WW8Num46z5"/>
    <w:qFormat/>
    <w:rPr>
      <w:rFonts w:ascii="Times New Roman" w:hAnsi="Times New Roman" w:cs="Times New Roman"/>
      <w:b/>
      <w:i w:val="false"/>
      <w:sz w:val="24"/>
      <w:u w:val="none"/>
    </w:rPr>
  </w:style>
  <w:style w:type="character" w:styleId="WW8Num47z0">
    <w:name w:val="WW8Num47z0"/>
    <w:qFormat/>
    <w:rPr>
      <w:b/>
      <w:i w:val="false"/>
    </w:rPr>
  </w:style>
  <w:style w:type="character" w:styleId="WW8Num48z0">
    <w:name w:val="WW8Num48z0"/>
    <w:qFormat/>
    <w:rPr/>
  </w:style>
  <w:style w:type="character" w:styleId="WW8Num49z0">
    <w:name w:val="WW8Num49z0"/>
    <w:qFormat/>
    <w:rPr>
      <w:b w:val="false"/>
    </w:rPr>
  </w:style>
  <w:style w:type="character" w:styleId="WW8Num50z0">
    <w:name w:val="WW8Num50z0"/>
    <w:qFormat/>
    <w:rPr/>
  </w:style>
  <w:style w:type="character" w:styleId="WW8Num51z0">
    <w:name w:val="WW8Num51z0"/>
    <w:qFormat/>
    <w:rPr>
      <w:rFonts w:ascii="Wingdings 2" w:hAnsi="Wingdings 2" w:eastAsia="Times New Roman" w:cs="Times New Roman"/>
      <w:b/>
      <w:sz w:val="32"/>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2z0">
    <w:name w:val="WW8Num52z0"/>
    <w:qFormat/>
    <w:rPr>
      <w:rFonts w:ascii="Wingdings 2" w:hAnsi="Wingdings 2" w:eastAsia="Times New Roman" w:cs="Times New Roman"/>
      <w:b/>
      <w:sz w:val="32"/>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2z3">
    <w:name w:val="WW8Num52z3"/>
    <w:qFormat/>
    <w:rPr>
      <w:rFonts w:ascii="Symbol" w:hAnsi="Symbol" w:cs="Symbol"/>
    </w:rPr>
  </w:style>
  <w:style w:type="character" w:styleId="WW8Num54z0">
    <w:name w:val="WW8Num54z0"/>
    <w:qFormat/>
    <w:rPr/>
  </w:style>
  <w:style w:type="character" w:styleId="WW8Num55z0">
    <w:name w:val="WW8Num55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2001-09-19T12:23:00Z</dcterms:created>
  <dc:creator>jmoore2</dc:creator>
  <dc:description/>
  <dc:language>en-CA</dc:language>
  <cp:lastModifiedBy>gfitzge</cp:lastModifiedBy>
  <cp:lastPrinted>2001-09-21T15:46:00Z</cp:lastPrinted>
  <dcterms:modified xsi:type="dcterms:W3CDTF">2001-09-21T18:17:00Z</dcterms:modified>
  <cp:revision>6</cp:revision>
  <dc:subject/>
  <dc:title>MASTER POWER PURCHASE AND SALE AGREEMENT</dc:title>
</cp:coreProperties>
</file>