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Second Batch of Question &amp; Answers for Cinergy Corp.</w:t>
      </w:r>
    </w:p>
    <w:p>
      <w:pPr>
        <w:pStyle w:val="Heading1"/>
        <w:ind w:hanging="0" w:start="0"/>
        <w:rPr>
          <w:rFonts w:ascii="Arial" w:hAnsi="Arial" w:cs="Arial"/>
        </w:rPr>
      </w:pPr>
      <w:r>
        <w:rPr>
          <w:rFonts w:cs="Arial" w:ascii="Arial" w:hAnsi="Arial"/>
        </w:rPr>
        <w:t>As of December 4, 2000</w:t>
      </w:r>
    </w:p>
    <w:p>
      <w:pPr>
        <w:pStyle w:val="Normal"/>
        <w:rPr>
          <w:rFonts w:ascii="Arial" w:hAnsi="Arial" w:cs="Arial"/>
          <w:b/>
          <w:sz w:val="24"/>
        </w:rPr>
      </w:pPr>
      <w:r>
        <w:rPr>
          <w:rFonts w:cs="Arial" w:ascii="Arial" w:hAnsi="Arial"/>
          <w:b/>
          <w:sz w:val="24"/>
        </w:rPr>
      </w:r>
    </w:p>
    <w:p>
      <w:pPr>
        <w:pStyle w:val="Normal"/>
        <w:spacing w:lineRule="atLeast" w:line="240"/>
        <w:rPr>
          <w:rFonts w:ascii="Arial" w:hAnsi="Arial" w:cs="Arial"/>
          <w:color w:val="000000"/>
          <w:sz w:val="24"/>
        </w:rPr>
      </w:pPr>
      <w:r>
        <w:rPr>
          <w:rFonts w:cs="Arial" w:ascii="Arial" w:hAnsi="Arial"/>
          <w:color w:val="000000"/>
          <w:sz w:val="24"/>
        </w:rPr>
        <w:t>1.  What are the short term NOx and CO emissions during startups, and are</w:t>
      </w:r>
    </w:p>
    <w:p>
      <w:pPr>
        <w:pStyle w:val="Normal"/>
        <w:spacing w:lineRule="atLeast" w:line="240"/>
        <w:rPr>
          <w:rFonts w:ascii="Arial" w:hAnsi="Arial" w:cs="Arial"/>
          <w:color w:val="000000"/>
          <w:sz w:val="24"/>
        </w:rPr>
      </w:pPr>
      <w:r>
        <w:rPr>
          <w:rFonts w:cs="Arial" w:ascii="Arial" w:hAnsi="Arial"/>
          <w:color w:val="000000"/>
          <w:sz w:val="24"/>
        </w:rPr>
        <w:t>there limitations during start-ups.</w:t>
      </w:r>
    </w:p>
    <w:p>
      <w:pPr>
        <w:pStyle w:val="Normal"/>
        <w:spacing w:lineRule="atLeast" w:line="240"/>
        <w:rPr>
          <w:rFonts w:ascii="Arial" w:hAnsi="Arial" w:cs="Arial"/>
          <w:b/>
          <w:color w:val="000000"/>
          <w:sz w:val="24"/>
        </w:rPr>
      </w:pPr>
      <w:r>
        <w:rPr>
          <w:rFonts w:cs="Arial" w:ascii="Arial" w:hAnsi="Arial"/>
          <w:b/>
          <w:color w:val="000000"/>
          <w:sz w:val="24"/>
        </w:rPr>
      </w:r>
    </w:p>
    <w:p>
      <w:pPr>
        <w:pStyle w:val="BodyText"/>
        <w:rPr>
          <w:rFonts w:ascii="Arial" w:hAnsi="Arial" w:cs="Arial"/>
          <w:b/>
          <w:color w:val="000000"/>
        </w:rPr>
      </w:pPr>
      <w:r>
        <w:rPr>
          <w:rFonts w:cs="Arial" w:ascii="Arial" w:hAnsi="Arial"/>
          <w:b/>
          <w:color w:val="000000"/>
        </w:rPr>
        <w:t>The actual emissions during start-up evolutions vary depending on many parameters, including ambient conditions and ramp rate.  In general, there is not average or typical start-up emissions.</w:t>
      </w:r>
    </w:p>
    <w:p>
      <w:pPr>
        <w:pStyle w:val="BodyText"/>
        <w:rPr>
          <w:rFonts w:ascii="Arial" w:hAnsi="Arial" w:cs="Arial"/>
          <w:b/>
          <w:color w:val="000000"/>
        </w:rPr>
      </w:pPr>
      <w:r>
        <w:rPr>
          <w:rFonts w:cs="Arial" w:ascii="Arial" w:hAnsi="Arial"/>
          <w:b/>
          <w:color w:val="000000"/>
        </w:rPr>
      </w:r>
    </w:p>
    <w:p>
      <w:pPr>
        <w:pStyle w:val="BodyText"/>
        <w:rPr>
          <w:rFonts w:ascii="Arial" w:hAnsi="Arial" w:cs="Arial"/>
          <w:b/>
          <w:color w:val="000000"/>
        </w:rPr>
      </w:pPr>
      <w:r>
        <w:rPr>
          <w:rFonts w:cs="Arial" w:ascii="Arial" w:hAnsi="Arial"/>
          <w:b/>
          <w:color w:val="000000"/>
        </w:rPr>
        <w:t>The short-term limits outlined in both the Caledonia and Brownsville state permits do not apply during start-up evolutions as outlined in APC-S-1, section 10.2 (Caledonia) and TDEC 1200-3-20-0.02 (Brownsville).  We have received verbal confirmation from both Mississippi and Tennessee that our understanding of these state regulations is correct.</w:t>
      </w:r>
    </w:p>
    <w:p>
      <w:pPr>
        <w:pStyle w:val="BodyText"/>
        <w:rPr>
          <w:rFonts w:ascii="Arial" w:hAnsi="Arial" w:cs="Arial"/>
          <w:b/>
          <w:color w:val="000000"/>
        </w:rPr>
      </w:pPr>
      <w:r>
        <w:rPr>
          <w:rFonts w:cs="Arial" w:ascii="Arial" w:hAnsi="Arial"/>
          <w:b/>
          <w:color w:val="000000"/>
        </w:rPr>
      </w:r>
    </w:p>
    <w:p>
      <w:pPr>
        <w:pStyle w:val="BodyText"/>
        <w:rPr>
          <w:rFonts w:ascii="Arial" w:hAnsi="Arial" w:cs="Arial"/>
          <w:b/>
          <w:color w:val="000000"/>
        </w:rPr>
      </w:pPr>
      <w:r>
        <w:rPr>
          <w:rFonts w:cs="Arial" w:ascii="Arial" w:hAnsi="Arial"/>
          <w:b/>
          <w:color w:val="000000"/>
        </w:rPr>
        <w:t>The annual limits for emissions (249 tpy and 248 tpy for Brownsville and Caledonia, respectively) outlined in both permits are ensured through the use of a fuel cap.  Though the emissions during start-up are not limited to those outlined in the permits, fuel used during start-up does apply to this annual fuel cap.  Estimated run hours provided includes an assumption for a reasonable number of starts per year (&lt;100).</w:t>
      </w:r>
    </w:p>
    <w:p>
      <w:pPr>
        <w:pStyle w:val="BodyText"/>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sz w:val="24"/>
        </w:rPr>
      </w:pPr>
      <w:r>
        <w:rPr>
          <w:rFonts w:cs="Arial" w:ascii="Arial" w:hAnsi="Arial"/>
          <w:b/>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t>2.  Are industrial storm-water permits required at either site?</w:t>
      </w:r>
    </w:p>
    <w:p>
      <w:pPr>
        <w:pStyle w:val="Normal"/>
        <w:spacing w:lineRule="atLeast" w:line="240"/>
        <w:rPr>
          <w:rFonts w:ascii="Arial" w:hAnsi="Arial" w:cs="Arial"/>
          <w:color w:val="000000"/>
          <w:sz w:val="24"/>
        </w:rPr>
      </w:pPr>
      <w:r>
        <w:rPr>
          <w:rFonts w:cs="Arial" w:ascii="Arial" w:hAnsi="Arial"/>
          <w:color w:val="000000"/>
          <w:sz w:val="24"/>
        </w:rPr>
        <w:t>As well as Caledonia?</w:t>
      </w:r>
    </w:p>
    <w:p>
      <w:pPr>
        <w:pStyle w:val="BodyText3"/>
        <w:spacing w:lineRule="auto" w:line="240"/>
        <w:rPr/>
      </w:pPr>
      <w:r>
        <w:rPr/>
        <w:t>No. There is no wastewater discharge at either site.  Neither plant meets the definition of "industrial activity" under 40 CFR 122.  As a result, neither plant needs an industrial storm-water permit.  Both plants were required to obtain construction storm-water permits.</w:t>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t>3.  In Caledonia, what is the custom fuel-sampling schedule?</w:t>
      </w:r>
    </w:p>
    <w:p>
      <w:pPr>
        <w:pStyle w:val="Normal"/>
        <w:spacing w:lineRule="atLeast" w:line="240"/>
        <w:rPr>
          <w:rFonts w:ascii="Arial" w:hAnsi="Arial" w:cs="Arial"/>
          <w:color w:val="000000"/>
          <w:sz w:val="24"/>
        </w:rPr>
      </w:pPr>
      <w:r>
        <w:rPr>
          <w:rFonts w:cs="Arial" w:ascii="Arial" w:hAnsi="Arial"/>
          <w:color w:val="000000"/>
          <w:sz w:val="24"/>
        </w:rPr>
        <w:t>As well as Brownsville?</w:t>
      </w:r>
    </w:p>
    <w:p>
      <w:pPr>
        <w:pStyle w:val="BodyText2"/>
        <w:rPr/>
      </w:pPr>
      <w:r>
        <w:rPr/>
        <w:t>The fuel-sampling schedule for both sulfur content and heating value at Caledonia is once per month.</w:t>
      </w:r>
    </w:p>
    <w:p>
      <w:pPr>
        <w:pStyle w:val="BodyText2"/>
        <w:rPr/>
      </w:pPr>
      <w:r>
        <w:rPr/>
      </w:r>
    </w:p>
    <w:p>
      <w:pPr>
        <w:pStyle w:val="BodyText2"/>
        <w:rPr>
          <w:sz w:val="24"/>
        </w:rPr>
      </w:pPr>
      <w:r>
        <w:rPr>
          <w:color w:val="000000"/>
        </w:rPr>
        <w:t>We are implementing the recommended EPA protocol for natural gas sampling which calls for twice per month the first six months, then once per quarter the first six quarters, then semi-annually thereafter. However, since we are also required under Part 75 to analyze for the natural gas heat content on a monthly basis, the plant managers analyze for the sulfur content monthly.</w:t>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t>4.  What is the agency's response to the Enron letter regarding the 2nd</w:t>
      </w:r>
    </w:p>
    <w:p>
      <w:pPr>
        <w:pStyle w:val="Normal"/>
        <w:spacing w:lineRule="atLeast" w:line="240"/>
        <w:rPr>
          <w:rFonts w:ascii="Arial" w:hAnsi="Arial" w:cs="Arial"/>
          <w:color w:val="000000"/>
          <w:sz w:val="24"/>
        </w:rPr>
      </w:pPr>
      <w:r>
        <w:rPr>
          <w:rFonts w:cs="Arial" w:ascii="Arial" w:hAnsi="Arial"/>
          <w:color w:val="000000"/>
          <w:sz w:val="24"/>
        </w:rPr>
        <w:t>stormwater NOV?</w:t>
      </w:r>
    </w:p>
    <w:p>
      <w:pPr>
        <w:pStyle w:val="BodyText3"/>
        <w:rPr>
          <w:sz w:val="24"/>
        </w:rPr>
      </w:pPr>
      <w:r>
        <w:rPr/>
        <w:t>We have not received any written correspondence from the agency following the second NOV. However, the site was inspected after completion of the corrective measures (around June 15) and the state inspector was satisfied with the progress made to bring the site into compliance with the storm-water construction permit.</w:t>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t>5.  Has there been any further action by the agency since the 1st storm-water</w:t>
      </w:r>
    </w:p>
    <w:p>
      <w:pPr>
        <w:pStyle w:val="Normal"/>
        <w:spacing w:lineRule="atLeast" w:line="240"/>
        <w:rPr>
          <w:rFonts w:ascii="Arial" w:hAnsi="Arial" w:cs="Arial"/>
          <w:color w:val="000000"/>
          <w:sz w:val="24"/>
        </w:rPr>
      </w:pPr>
      <w:r>
        <w:rPr>
          <w:rFonts w:cs="Arial" w:ascii="Arial" w:hAnsi="Arial"/>
          <w:color w:val="000000"/>
          <w:sz w:val="24"/>
        </w:rPr>
        <w:t>NOV was never responded to?</w:t>
      </w:r>
    </w:p>
    <w:p>
      <w:pPr>
        <w:pStyle w:val="Heading2"/>
        <w:ind w:hanging="0" w:start="0"/>
        <w:rPr>
          <w:sz w:val="24"/>
        </w:rPr>
      </w:pPr>
      <w:r>
        <w:rPr/>
        <w:t>We are not aware of any action.</w:t>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t>6.  One memo stated that the storm-water is channeled to a wetland.  Was that</w:t>
      </w:r>
    </w:p>
    <w:p>
      <w:pPr>
        <w:pStyle w:val="Normal"/>
        <w:spacing w:lineRule="atLeast" w:line="240"/>
        <w:rPr>
          <w:rFonts w:ascii="Arial" w:hAnsi="Arial" w:cs="Arial"/>
          <w:color w:val="000000"/>
          <w:sz w:val="24"/>
        </w:rPr>
      </w:pPr>
      <w:r>
        <w:rPr>
          <w:rFonts w:cs="Arial" w:ascii="Arial" w:hAnsi="Arial"/>
          <w:color w:val="000000"/>
          <w:sz w:val="24"/>
        </w:rPr>
        <w:t>during construction only or is it ongoing?</w:t>
      </w:r>
    </w:p>
    <w:p>
      <w:pPr>
        <w:pStyle w:val="Normal"/>
        <w:spacing w:lineRule="atLeast" w:line="240"/>
        <w:rPr>
          <w:rFonts w:ascii="Arial" w:hAnsi="Arial" w:cs="Arial"/>
          <w:b/>
          <w:color w:val="000000"/>
        </w:rPr>
      </w:pPr>
      <w:r>
        <w:rPr>
          <w:rFonts w:cs="Arial" w:ascii="Arial" w:hAnsi="Arial"/>
          <w:b/>
          <w:color w:val="000000"/>
        </w:rPr>
        <w:t>We are not aware of anything existing. We believe that this refers to the construction period.</w:t>
      </w:r>
    </w:p>
    <w:p>
      <w:pPr>
        <w:pStyle w:val="Normal"/>
        <w:spacing w:lineRule="atLeast" w:line="240"/>
        <w:rPr>
          <w:rFonts w:ascii="Arial" w:hAnsi="Arial" w:cs="Arial"/>
          <w:b/>
          <w:color w:val="000000"/>
          <w:sz w:val="24"/>
        </w:rPr>
      </w:pPr>
      <w:r>
        <w:rPr>
          <w:rFonts w:cs="Arial" w:ascii="Arial" w:hAnsi="Arial"/>
          <w:b/>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t>7.  Were there any further problems with the B T Readymix concrete dumping</w:t>
      </w:r>
    </w:p>
    <w:p>
      <w:pPr>
        <w:pStyle w:val="Normal"/>
        <w:rPr>
          <w:rFonts w:ascii="Arial" w:hAnsi="Arial" w:cs="Arial"/>
          <w:b/>
          <w:sz w:val="24"/>
        </w:rPr>
      </w:pPr>
      <w:r>
        <w:rPr>
          <w:rFonts w:cs="Arial" w:ascii="Arial" w:hAnsi="Arial"/>
          <w:color w:val="000000"/>
          <w:sz w:val="24"/>
        </w:rPr>
        <w:t>issue?</w:t>
      </w:r>
    </w:p>
    <w:p>
      <w:pPr>
        <w:pStyle w:val="Normal"/>
        <w:rPr>
          <w:rFonts w:ascii="Arial" w:hAnsi="Arial" w:cs="Arial"/>
          <w:b/>
        </w:rPr>
      </w:pPr>
      <w:r>
        <w:rPr>
          <w:rFonts w:cs="Arial" w:ascii="Arial" w:hAnsi="Arial"/>
          <w:b/>
        </w:rPr>
        <w:t>No.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b/>
      <w:color w:val="00000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Courier" w:hAnsi="Courier" w:cs="Courie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rFonts w:ascii="Arial" w:hAnsi="Arial" w:cs="Arial"/>
      <w:b/>
    </w:rPr>
  </w:style>
  <w:style w:type="paragraph" w:styleId="BodyText3">
    <w:name w:val="Body Text 3"/>
    <w:basedOn w:val="Normal"/>
    <w:qFormat/>
    <w:pPr>
      <w:spacing w:lineRule="atLeast" w:line="240"/>
    </w:pPr>
    <w:rPr>
      <w:rFonts w:ascii="Arial" w:hAnsi="Arial" w:cs="Arial"/>
      <w:b/>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2000-12-06T19:15:00Z</dcterms:created>
  <dc:creator>Ben Rogers</dc:creator>
  <dc:description/>
  <dc:language>en-CA</dc:language>
  <cp:lastModifiedBy>geghneim</cp:lastModifiedBy>
  <cp:lastPrinted>2000-12-05T09:41:00Z</cp:lastPrinted>
  <dcterms:modified xsi:type="dcterms:W3CDTF">2000-12-06T19:15:00Z</dcterms:modified>
  <cp:revision>2</cp:revision>
  <dc:subject/>
  <dc:title>Second Batch of Question &amp; Answers for Cinergy Corp</dc:title>
</cp:coreProperties>
</file>