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Arial" w:hAnsi="Arial" w:cs="Arial"/>
        </w:rPr>
      </w:pPr>
      <w:r>
        <w:rPr>
          <w:rFonts w:cs="Arial" w:ascii="Arial" w:hAnsi="Arial"/>
        </w:rPr>
        <w:t>Second Batch of Question &amp; Answers for Cinergy Corp.</w:t>
      </w:r>
    </w:p>
    <w:p>
      <w:pPr>
        <w:pStyle w:val="Heading1"/>
        <w:ind w:hanging="0" w:start="0"/>
        <w:rPr>
          <w:rFonts w:ascii="Arial" w:hAnsi="Arial" w:cs="Arial"/>
        </w:rPr>
      </w:pPr>
      <w:r>
        <w:rPr>
          <w:rFonts w:cs="Arial" w:ascii="Arial" w:hAnsi="Arial"/>
        </w:rPr>
        <w:t>As of December 4, 2000</w:t>
      </w:r>
    </w:p>
    <w:p>
      <w:pPr>
        <w:pStyle w:val="Normal"/>
        <w:rPr>
          <w:rFonts w:ascii="Arial" w:hAnsi="Arial" w:cs="Arial"/>
          <w:b/>
          <w:sz w:val="24"/>
        </w:rPr>
      </w:pPr>
      <w:r>
        <w:rPr>
          <w:rFonts w:cs="Arial" w:ascii="Arial" w:hAnsi="Arial"/>
          <w:b/>
          <w:sz w:val="24"/>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t>1.  What are the short term NOx and CO emissions during startups, and are</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t>there limitations during start-ups.</w:t>
      </w:r>
    </w:p>
    <w:p>
      <w:pPr>
        <w:pStyle w:val="Normal"/>
        <w:spacing w:lineRule="atLeast" w:line="240"/>
        <w:rPr>
          <w:rFonts w:ascii="Arial" w:hAnsi="Arial" w:cs="Arial"/>
          <w:b/>
          <w:color w:val="000000"/>
          <w:sz w:val="24"/>
          <w:lang w:eastAsia="en-US"/>
        </w:rPr>
      </w:pPr>
      <w:r>
        <w:rPr>
          <w:rFonts w:cs="Arial" w:ascii="Arial" w:hAnsi="Arial"/>
          <w:b/>
          <w:color w:val="000000"/>
          <w:sz w:val="24"/>
          <w:lang w:eastAsia="en-US"/>
        </w:rPr>
      </w:r>
    </w:p>
    <w:p>
      <w:pPr>
        <w:pStyle w:val="Normal"/>
        <w:spacing w:lineRule="atLeast" w:line="240"/>
        <w:rPr>
          <w:rFonts w:ascii="Arial" w:hAnsi="Arial" w:cs="Arial"/>
          <w:b/>
          <w:lang w:eastAsia="en-US"/>
        </w:rPr>
      </w:pPr>
      <w:r>
        <w:rPr>
          <w:rFonts w:cs="Arial" w:ascii="Arial" w:hAnsi="Arial"/>
          <w:b/>
          <w:lang w:eastAsia="en-US"/>
        </w:rPr>
        <w:t xml:space="preserve">Normally, there is a short period during startup when the NOx goes to approximately 35 ppm.  This is very short in duration and occurs while the gas turbine is loading.  Our site is permitted to normally operate between 70-100% turbine load.  These emissions have subsided within the few minutes required to attain 70% load.  Our permit constraints require that we do not exceed our emissions limits on a 3 hour rolling average.  Therefore these short-term startup emissions are not an issue.  </w:t>
      </w:r>
    </w:p>
    <w:p>
      <w:pPr>
        <w:pStyle w:val="Normal"/>
        <w:spacing w:lineRule="atLeast" w:line="240"/>
        <w:rPr>
          <w:rFonts w:ascii="Arial" w:hAnsi="Arial" w:cs="Arial"/>
          <w:b/>
          <w:lang w:eastAsia="en-US"/>
        </w:rPr>
      </w:pPr>
      <w:r>
        <w:rPr>
          <w:rFonts w:cs="Arial" w:ascii="Arial" w:hAnsi="Arial"/>
          <w:b/>
          <w:lang w:eastAsia="en-US"/>
        </w:rPr>
      </w:r>
    </w:p>
    <w:p>
      <w:pPr>
        <w:pStyle w:val="Normal"/>
        <w:spacing w:lineRule="atLeast" w:line="240"/>
        <w:rPr>
          <w:rFonts w:ascii="Arial" w:hAnsi="Arial" w:cs="Arial"/>
          <w:b/>
          <w:lang w:eastAsia="en-US"/>
        </w:rPr>
      </w:pPr>
      <w:r>
        <w:rPr>
          <w:rFonts w:cs="Arial" w:ascii="Arial" w:hAnsi="Arial"/>
          <w:b/>
          <w:lang w:eastAsia="en-US"/>
        </w:rPr>
        <w:t>CO is a calculated value.  I do not have short-term CO2 numbers at present.  However, I don't believe they are at issue since they are related to excess air which is pretty high during startup.</w:t>
      </w:r>
    </w:p>
    <w:p>
      <w:pPr>
        <w:pStyle w:val="Normal"/>
        <w:spacing w:lineRule="atLeast" w:line="240"/>
        <w:rPr>
          <w:rFonts w:ascii="Arial" w:hAnsi="Arial" w:cs="Arial"/>
          <w:b/>
          <w:lang w:eastAsia="en-US"/>
        </w:rPr>
      </w:pPr>
      <w:r>
        <w:rPr>
          <w:rFonts w:cs="Arial" w:ascii="Arial" w:hAnsi="Arial"/>
          <w:b/>
          <w:lang w:eastAsia="en-US"/>
        </w:rPr>
      </w:r>
    </w:p>
    <w:p>
      <w:pPr>
        <w:pStyle w:val="BodyText"/>
        <w:rPr>
          <w:rFonts w:ascii="Arial" w:hAnsi="Arial" w:cs="Arial"/>
          <w:b/>
          <w:color w:val="auto"/>
        </w:rPr>
      </w:pPr>
      <w:r>
        <w:rPr>
          <w:rFonts w:cs="Arial" w:ascii="Arial" w:hAnsi="Arial"/>
          <w:b/>
          <w:color w:val="auto"/>
        </w:rPr>
        <w:t>There is a condition called lean-lean firing which can and has occurred from time to time.  A transition takes place above 40MW when the nozzle gas arrangement normally goes to a firing state called "premix steady state."  If this transition fails for some reason, the machine goes into a lean-lean state and the NOx level can rise to 40-50 ppm.  The turbine activates and operator alarm when this happens.  We can count the number of occurrences that this has happened on one hand at Caledonia.  When this conditions occurs, the operators correct the condition by reducing the load to about 35MW and then increase the load again.  Typically this resolves the faulty transition and it configures the nozzles correctly on the second attempt.</w:t>
      </w:r>
    </w:p>
    <w:p>
      <w:pPr>
        <w:pStyle w:val="BodyText"/>
        <w:rPr>
          <w:rFonts w:ascii="Arial" w:hAnsi="Arial" w:cs="Arial"/>
          <w:b/>
          <w:color w:val="auto"/>
        </w:rPr>
      </w:pPr>
      <w:r>
        <w:rPr>
          <w:rFonts w:cs="Arial" w:ascii="Arial" w:hAnsi="Arial"/>
          <w:b/>
          <w:color w:val="auto"/>
        </w:rPr>
      </w:r>
    </w:p>
    <w:p>
      <w:pPr>
        <w:pStyle w:val="BodyText"/>
        <w:rPr>
          <w:rFonts w:ascii="Arial" w:hAnsi="Arial" w:cs="Arial"/>
          <w:b/>
          <w:color w:val="auto"/>
        </w:rPr>
      </w:pPr>
      <w:r>
        <w:rPr>
          <w:rFonts w:cs="Arial" w:ascii="Arial" w:hAnsi="Arial"/>
          <w:b/>
          <w:color w:val="auto"/>
        </w:rPr>
        <w:t>In addition:</w:t>
      </w:r>
    </w:p>
    <w:p>
      <w:pPr>
        <w:pStyle w:val="BodyText3"/>
        <w:rPr/>
      </w:pPr>
      <w:r>
        <w:rPr/>
        <w:t>Caledonia - There is no specific exemption in the permit for startup and shutdown. We tried to request one when we modified the permit for peak firing in May. The state told us however, that there is no need to provide a specific exemption in the permit and that we can rely on the exemption provided in the general rules under (APC-S-1, Section 10.2)</w:t>
      </w:r>
    </w:p>
    <w:p>
      <w:pPr>
        <w:pStyle w:val="Normal"/>
        <w:spacing w:lineRule="atLeast" w:line="240"/>
        <w:rPr>
          <w:rFonts w:ascii="Arial" w:hAnsi="Arial" w:cs="Arial"/>
          <w:b/>
          <w:color w:val="000000"/>
          <w:lang w:eastAsia="en-US"/>
        </w:rPr>
      </w:pPr>
      <w:r>
        <w:rPr>
          <w:rFonts w:cs="Arial" w:ascii="Arial" w:hAnsi="Arial"/>
          <w:b/>
          <w:color w:val="000000"/>
          <w:lang w:eastAsia="en-US"/>
        </w:rPr>
      </w:r>
    </w:p>
    <w:p>
      <w:pPr>
        <w:pStyle w:val="BodyText"/>
        <w:rPr>
          <w:rFonts w:ascii="Arial" w:hAnsi="Arial" w:cs="Arial"/>
          <w:b/>
          <w:color w:val="auto"/>
        </w:rPr>
      </w:pPr>
      <w:r>
        <w:rPr>
          <w:rFonts w:cs="Arial" w:ascii="Arial" w:hAnsi="Arial"/>
          <w:b/>
          <w:color w:val="000000"/>
        </w:rPr>
        <w:t>Brownsville - Again, there is no specific exemption for startup and shutdown. We are relying on the exemption provided in the general rules under regulation 1200-3-20-0.02 which calls for implementation of good management practice to minimize emissions during startup and shutdown.</w:t>
      </w:r>
    </w:p>
    <w:p>
      <w:pPr>
        <w:pStyle w:val="Normal"/>
        <w:spacing w:lineRule="atLeast" w:line="240"/>
        <w:rPr>
          <w:rFonts w:ascii="Arial" w:hAnsi="Arial" w:cs="Arial"/>
          <w:b/>
          <w:color w:val="000000"/>
          <w:sz w:val="24"/>
          <w:lang w:eastAsia="en-US"/>
        </w:rPr>
      </w:pPr>
      <w:r>
        <w:rPr>
          <w:rFonts w:cs="Arial" w:ascii="Arial" w:hAnsi="Arial"/>
          <w:b/>
          <w:color w:val="000000"/>
          <w:sz w:val="24"/>
          <w:lang w:eastAsia="en-US"/>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t>2.  Are industrial storm-water permits required at either site?</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t>As well as Caledonia?</w:t>
      </w:r>
    </w:p>
    <w:p>
      <w:pPr>
        <w:pStyle w:val="BodyText3"/>
        <w:spacing w:lineRule="auto" w:line="240"/>
        <w:rPr/>
      </w:pPr>
      <w:r>
        <w:rPr/>
        <w:t>No. There is no wastewater discharge at either site.  Neither plant meets the definition of "industrial activity" under 40 CFR 122.  As a result, neither plant needs an industrial storm-water permit.  Both plants were required to obtain construction storm-water permits.</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t>3.  In Caledonia, what is the custom fuel-sampling schedule?</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t>As well as Brownsville?</w:t>
      </w:r>
    </w:p>
    <w:p>
      <w:pPr>
        <w:pStyle w:val="BodyText2"/>
        <w:rPr/>
      </w:pPr>
      <w:r>
        <w:rPr/>
        <w:t>The fuel-sampling schedule for both sulfur content and heating value at Caledonia is once per month.</w:t>
      </w:r>
    </w:p>
    <w:p>
      <w:pPr>
        <w:pStyle w:val="BodyText2"/>
        <w:rPr/>
      </w:pPr>
      <w:r>
        <w:rPr/>
      </w:r>
    </w:p>
    <w:p>
      <w:pPr>
        <w:pStyle w:val="BodyText2"/>
        <w:rPr>
          <w:sz w:val="24"/>
        </w:rPr>
      </w:pPr>
      <w:r>
        <w:rPr>
          <w:color w:val="000000"/>
        </w:rPr>
        <w:t>We are implementing the recommended EPA protocol for natural gas sampling which calls for twice per month the first six months, then once per quarter the first six quarters, then semi-annually thereafter. However, since we are also required under Part 75 to analyze for the natural gas heat content on a monthly basis, I have asked the plant managers to analyze for the sulfur content monthly.</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t>4.  What is the agency's response to the Enron letter regarding the 2nd</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t>stormwater NOV?</w:t>
      </w:r>
    </w:p>
    <w:p>
      <w:pPr>
        <w:pStyle w:val="BodyText3"/>
        <w:rPr>
          <w:sz w:val="24"/>
        </w:rPr>
      </w:pPr>
      <w:r>
        <w:rPr/>
        <w:t>We have not received any written correspondence from the agency following the second NOV. However, the site was inspected after completion of the corrective measures (around June 15) and the state inspector was satisfied with the progress made to bring the site into compliance with the storm-water construction permit.</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t>5.  Has there been any further action by the agency since the 1st storm-water</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t>NOV was never responded to?</w:t>
      </w:r>
    </w:p>
    <w:p>
      <w:pPr>
        <w:pStyle w:val="Heading2"/>
        <w:ind w:hanging="0" w:start="0"/>
        <w:rPr>
          <w:sz w:val="24"/>
        </w:rPr>
      </w:pPr>
      <w:r>
        <w:rPr/>
        <w:t>I am not aware of any action.</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t>6.  One memo stated that the storm-water is channeled to a wetland.  Was that</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t>during construction only or is it ongoing?</w:t>
      </w:r>
    </w:p>
    <w:p>
      <w:pPr>
        <w:pStyle w:val="Normal"/>
        <w:spacing w:lineRule="atLeast" w:line="240"/>
        <w:rPr>
          <w:rFonts w:ascii="Arial" w:hAnsi="Arial" w:cs="Arial"/>
          <w:b/>
          <w:color w:val="000000"/>
          <w:lang w:eastAsia="en-US"/>
        </w:rPr>
      </w:pPr>
      <w:r>
        <w:rPr>
          <w:rFonts w:cs="Arial" w:ascii="Arial" w:hAnsi="Arial"/>
          <w:b/>
          <w:color w:val="000000"/>
          <w:lang w:eastAsia="en-US"/>
        </w:rPr>
        <w:t>I am not aware of anything existing. I believe that this is during construction.</w:t>
      </w:r>
    </w:p>
    <w:p>
      <w:pPr>
        <w:pStyle w:val="Heading2"/>
        <w:ind w:hanging="0" w:start="0"/>
        <w:rPr>
          <w:sz w:val="24"/>
        </w:rPr>
      </w:pPr>
      <w:r>
        <w:rPr/>
        <w:t>Mitchell -- any thoughts on that?</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t>7.  Were there any further problems with the B T Readymix concrete dumping</w:t>
      </w:r>
    </w:p>
    <w:p>
      <w:pPr>
        <w:pStyle w:val="Normal"/>
        <w:rPr>
          <w:rFonts w:ascii="Arial" w:hAnsi="Arial" w:cs="Arial"/>
          <w:b/>
          <w:sz w:val="24"/>
        </w:rPr>
      </w:pPr>
      <w:r>
        <w:rPr>
          <w:rFonts w:cs="Arial" w:ascii="Arial" w:hAnsi="Arial"/>
          <w:color w:val="000000"/>
          <w:sz w:val="24"/>
          <w:lang w:eastAsia="en-US"/>
        </w:rPr>
        <w:t>issue?</w:t>
      </w:r>
    </w:p>
    <w:p>
      <w:pPr>
        <w:pStyle w:val="Normal"/>
        <w:rPr>
          <w:rFonts w:ascii="Arial" w:hAnsi="Arial" w:cs="Arial"/>
          <w:b/>
        </w:rPr>
      </w:pPr>
      <w:r>
        <w:rPr>
          <w:rFonts w:cs="Arial" w:ascii="Arial" w:hAnsi="Arial"/>
          <w:b/>
        </w:rPr>
        <w:t>No!</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spacing w:lineRule="atLeast" w:line="240"/>
      <w:outlineLvl w:val="1"/>
    </w:pPr>
    <w:rPr>
      <w:rFonts w:ascii="Arial" w:hAnsi="Arial" w:cs="Arial"/>
      <w:b/>
      <w:color w:val="000000"/>
      <w:lang w:eastAsia="en-U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rFonts w:ascii="Courier" w:hAnsi="Courier" w:cs="Courier"/>
      <w:color w:val="FF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lineRule="atLeast" w:line="240"/>
    </w:pPr>
    <w:rPr>
      <w:rFonts w:ascii="Arial" w:hAnsi="Arial" w:cs="Arial"/>
      <w:b/>
      <w:lang w:eastAsia="en-US"/>
    </w:rPr>
  </w:style>
  <w:style w:type="paragraph" w:styleId="BodyText3">
    <w:name w:val="Body Text 3"/>
    <w:basedOn w:val="Normal"/>
    <w:qFormat/>
    <w:pPr>
      <w:spacing w:lineRule="atLeast" w:line="240"/>
    </w:pPr>
    <w:rPr>
      <w:rFonts w:ascii="Arial" w:hAnsi="Arial" w:cs="Arial"/>
      <w:b/>
      <w:color w:val="000000"/>
      <w:lang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2000-12-04T13:51:00Z</dcterms:created>
  <dc:creator>Ben Rogers</dc:creator>
  <dc:description/>
  <dc:language>en-CA</dc:language>
  <cp:lastModifiedBy>Ben Rogers</cp:lastModifiedBy>
  <cp:lastPrinted>2000-12-05T09:41:00Z</cp:lastPrinted>
  <dcterms:modified xsi:type="dcterms:W3CDTF">2000-12-05T13:23:00Z</dcterms:modified>
  <cp:revision>21</cp:revision>
  <dc:subject/>
  <dc:title>Second Batch of Question &amp; Answers for Cinergy Corp</dc:title>
</cp:coreProperties>
</file>