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herewith (“Confidentiality Agreement”).  Because of the unusual nature of the obligations imposed upon ENA by ICF in the consulting services agreement between such parties, ENA wishes to obtain Cinergy’s agreement with the following points of understanding, regarding the Report:</w:t>
      </w:r>
    </w:p>
    <w:p>
      <w:pPr>
        <w:pStyle w:val="Normal"/>
        <w:jc w:val="both"/>
        <w:rPr/>
      </w:pPr>
      <w:r>
        <w:rPr/>
      </w:r>
    </w:p>
    <w:p>
      <w:pPr>
        <w:pStyle w:val="Normal"/>
        <w:jc w:val="both"/>
        <w:rPr/>
      </w:pPr>
      <w:r>
        <w:rPr/>
        <w:t>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completeness.  The foregoing is intended to compliment, and not replace, the provisions contained in Section 4 of the Confidentiality Agreement.</w:t>
      </w:r>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Cinergy_Ind_Ltr_Agmt_Finalv2-a1b8d27e219963871500e69ea073ad788fdf9062fdbc2b3077df90807f90298a.doc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2000-06-22T17:25:00Z</dcterms:created>
  <dc:creator>Ed Hearn</dc:creator>
  <dc:description>Stuart Zisman</dc:description>
  <dc:language>en-CA</dc:language>
  <cp:lastModifiedBy>Ben Rogers</cp:lastModifiedBy>
  <cp:lastPrinted>2000-06-22T14:55:00Z</cp:lastPrinted>
  <dcterms:modified xsi:type="dcterms:W3CDTF">2000-06-22T17:25:00Z</dcterms:modified>
  <cp:revision>2</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