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Cinergy Corp.</w:t>
      </w:r>
    </w:p>
    <w:p>
      <w:pPr>
        <w:pStyle w:val="Normal"/>
        <w:rPr>
          <w:rFonts w:ascii="Arial" w:hAnsi="Arial" w:cs="Arial"/>
          <w:sz w:val="24"/>
        </w:rPr>
      </w:pPr>
      <w:r>
        <w:rPr>
          <w:rFonts w:cs="Arial" w:ascii="Arial" w:hAnsi="Arial"/>
          <w:sz w:val="24"/>
        </w:rPr>
        <w:t>139 East Fourth Street</w:t>
      </w:r>
    </w:p>
    <w:p>
      <w:pPr>
        <w:pStyle w:val="Normal"/>
        <w:rPr>
          <w:rFonts w:ascii="Arial" w:hAnsi="Arial" w:cs="Arial"/>
          <w:sz w:val="24"/>
        </w:rPr>
      </w:pPr>
      <w:r>
        <w:rPr>
          <w:rFonts w:cs="Arial" w:ascii="Arial" w:hAnsi="Arial"/>
          <w:sz w:val="24"/>
        </w:rPr>
        <w:t>Cincinnati, OH  45202</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Attn:</w:t>
        <w:tab/>
        <w:t>Mr. Michael J. Cyrus, President of Energy Commodities Business Unit</w:t>
      </w:r>
    </w:p>
    <w:p>
      <w:pPr>
        <w:pStyle w:val="Normal"/>
        <w:rPr>
          <w:rFonts w:ascii="Arial" w:hAnsi="Arial" w:cs="Arial"/>
          <w:sz w:val="24"/>
        </w:rPr>
      </w:pPr>
      <w:r>
        <w:rPr>
          <w:rFonts w:cs="Arial" w:ascii="Arial" w:hAnsi="Arial"/>
          <w:sz w:val="24"/>
        </w:rPr>
      </w:r>
    </w:p>
    <w:p>
      <w:pPr>
        <w:pStyle w:val="BodyText2"/>
        <w:rPr>
          <w:rFonts w:ascii="Arial" w:hAnsi="Arial" w:cs="Arial"/>
          <w:sz w:val="24"/>
        </w:rPr>
      </w:pPr>
      <w:r>
        <w:rPr>
          <w:rFonts w:cs="Arial"/>
          <w:sz w:val="24"/>
        </w:rPr>
      </w:r>
    </w:p>
    <w:p>
      <w:pPr>
        <w:pStyle w:val="BodyText2"/>
        <w:rPr/>
      </w:pPr>
      <w:r>
        <w:rPr/>
        <w:t>Re:</w:t>
        <w:tab/>
        <w:t>Confidentiality Agreement between Enron North America Corp. (“ENA”) and Cinergy Corp. (“Cinergy”)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Ladies and Gentlemen:</w:t>
      </w:r>
    </w:p>
    <w:p>
      <w:pPr>
        <w:pStyle w:val="Normal"/>
        <w:ind w:hanging="720" w:start="720" w:end="0"/>
        <w:rPr>
          <w:rFonts w:ascii="Arial" w:hAnsi="Arial" w:cs="Arial"/>
          <w:sz w:val="24"/>
        </w:rPr>
      </w:pPr>
      <w:r>
        <w:rPr>
          <w:rFonts w:cs="Arial" w:ascii="Arial" w:hAnsi="Arial"/>
          <w:sz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individually and together with its affiliates, and ENA, individually and together with its affiliates, are referred to as a “Party” and collectively as the “Parties.”  As a condition to furnishing Confidential Information, the Parties each agree to the following:</w:t>
      </w:r>
    </w:p>
    <w:p>
      <w:pPr>
        <w:pStyle w:val="Normal"/>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not disclose the other Party’s Confidential Information without the other Party’s prior written consent; </w:t>
      </w:r>
      <w:r>
        <w:rPr>
          <w:rFonts w:cs="Arial" w:ascii="Arial" w:hAnsi="Arial"/>
          <w:sz w:val="24"/>
          <w:u w:val="single"/>
        </w:rPr>
        <w:t>provided</w:t>
      </w:r>
      <w:r>
        <w:rPr>
          <w:rFonts w:cs="Arial" w:ascii="Arial" w:hAnsi="Arial"/>
          <w:sz w:val="24"/>
        </w:rPr>
        <w:t xml:space="preserve">, </w:t>
      </w:r>
      <w:r>
        <w:rPr>
          <w:rFonts w:cs="Arial" w:ascii="Arial" w:hAnsi="Arial"/>
          <w:sz w:val="24"/>
          <w:u w:val="single"/>
        </w:rPr>
        <w:t>however</w:t>
      </w:r>
      <w:r>
        <w:rPr>
          <w:rFonts w:cs="Arial" w:ascii="Arial" w:hAnsi="Arial"/>
          <w:sz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Each Party agrees that for a period of twenty-four (24) months from the date of this agreement, it will not, without the prior written consent of the other Party: </w:t>
      </w:r>
    </w:p>
    <w:p>
      <w:pPr>
        <w:pStyle w:val="Normal"/>
        <w:numPr>
          <w:ilvl w:val="0"/>
          <w:numId w:val="0"/>
        </w:numPr>
        <w:ind w:hanging="0" w:start="0"/>
        <w:jc w:val="both"/>
        <w:rPr>
          <w:rFonts w:ascii="Arial" w:hAnsi="Arial" w:cs="Arial"/>
          <w:sz w:val="24"/>
        </w:rPr>
      </w:pPr>
      <w:r>
        <w:rPr>
          <w:rFonts w:cs="Arial" w:ascii="Arial" w:hAnsi="Arial"/>
          <w:sz w:val="24"/>
        </w:rPr>
      </w:r>
    </w:p>
    <w:p>
      <w:pPr>
        <w:pStyle w:val="WW-BodyText2"/>
        <w:numPr>
          <w:ilvl w:val="0"/>
          <w:numId w:val="0"/>
        </w:numPr>
        <w:ind w:hanging="720" w:start="2880" w:end="0"/>
        <w:rPr/>
      </w:pPr>
      <w:r>
        <w:rPr/>
        <w:t>a.</w:t>
        <w:tab/>
        <w:t>acquire, offer to acquire, or agree to acquire, directly or indirectly, by purchase or otherwise, (i) any voting securities or direct or indirect rights to acquire any voting securities of the other Party or (ii) all or substantially all of the assets of the other Party. Except, however, that either Party may only for investment and in the ordinary course of business acquire an amount of voting securities of the other Party not to exceed two percent (2%) of the voting securities;</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d.</w:t>
        <w:tab/>
        <w:t>otherwise act, alone or in concert with others (including by providing financing for another party), to seek or offer to control or influence, in any manner, the management, Board of Directors or policies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BodyText"/>
        <w:numPr>
          <w:ilvl w:val="0"/>
          <w:numId w:val="0"/>
        </w:numPr>
        <w:tabs>
          <w:tab w:val="left" w:pos="720" w:leader="none"/>
        </w:tabs>
        <w:ind w:hanging="0" w:start="0"/>
        <w:rPr>
          <w:rFonts w:ascii="Arial" w:hAnsi="Arial" w:cs="Arial"/>
          <w:sz w:val="24"/>
        </w:rPr>
      </w:pPr>
      <w:r>
        <w:rPr>
          <w:rFonts w:cs="Arial"/>
          <w:sz w:val="24"/>
        </w:rPr>
      </w:r>
    </w:p>
    <w:p>
      <w:pPr>
        <w:pStyle w:val="BodyText"/>
        <w:numPr>
          <w:ilvl w:val="0"/>
          <w:numId w:val="0"/>
        </w:numPr>
        <w:tabs>
          <w:tab w:val="left" w:pos="720" w:leader="none"/>
        </w:tabs>
        <w:ind w:hanging="0" w:start="0"/>
        <w:rPr/>
      </w:pPr>
      <w:r>
        <w:rPr/>
      </w:r>
    </w:p>
    <w:p>
      <w:pPr>
        <w:pStyle w:val="Normal"/>
        <w:numPr>
          <w:ilvl w:val="0"/>
          <w:numId w:val="3"/>
        </w:numPr>
        <w:tabs>
          <w:tab w:val="left" w:pos="720" w:leader="none"/>
        </w:tabs>
        <w:ind w:hanging="720" w:start="720" w:end="0"/>
        <w:jc w:val="both"/>
        <w:rPr>
          <w:rFonts w:ascii="Arial" w:hAnsi="Arial" w:cs="Arial"/>
          <w:sz w:val="24"/>
        </w:rPr>
      </w:pPr>
      <w:r>
        <w:rPr>
          <w:rFonts w:cs="Arial" w:ascii="Arial" w:hAnsi="Arial"/>
          <w:sz w:val="24"/>
        </w:rPr>
        <w:t>Each of the Parties agrees that, for a period of twelve (12) months from the date of this agreement, it will not, without the prior written consent of the other Party, directly or indirectly solicit or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solicitation from the Party or its Representatives and (ii) conducting general solicitations for employees which are not specifically targeted at the other Party’s employees.  Notwithstanding anything contained herein to the contrary, any solicitation contemplated by the foregoing provisions shall not constitute a breach of this agreement if (i) the personnel who performed such solicitation have no knowledge of the Proposed Transaction or of any Confidential Information and (ii) none of the personnel who have knowledge of any Confidential Information have actual advance knowledge of any such solicitation.</w:t>
      </w:r>
    </w:p>
    <w:p>
      <w:pPr>
        <w:pStyle w:val="Normal"/>
        <w:numPr>
          <w:ilvl w:val="0"/>
          <w:numId w:val="0"/>
        </w:numPr>
        <w:tabs>
          <w:tab w:val="left" w:pos="720" w:leader="none"/>
        </w:tabs>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720" w:start="720" w:end="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rPr>
      </w:pPr>
      <w:r>
        <w:rPr>
          <w:rFonts w:eastAsia="Arial" w:cs="Arial" w:ascii="Arial" w:hAnsi="Arial"/>
          <w:sz w:val="24"/>
        </w:rPr>
        <w:t xml:space="preserve"> </w:t>
      </w:r>
    </w:p>
    <w:p>
      <w:pPr>
        <w:pStyle w:val="Normal"/>
        <w:numPr>
          <w:ilvl w:val="0"/>
          <w:numId w:val="2"/>
        </w:numPr>
        <w:ind w:hanging="720" w:start="720" w:end="0"/>
        <w:jc w:val="both"/>
        <w:rPr>
          <w:rFonts w:ascii="Arial" w:hAnsi="Arial" w:cs="Arial"/>
          <w:sz w:val="24"/>
        </w:rPr>
      </w:pPr>
      <w:r>
        <w:rPr>
          <w:rFonts w:cs="Arial" w:ascii="Arial" w:hAnsi="Arial"/>
          <w:sz w:val="24"/>
        </w:rPr>
        <w:t xml:space="preserve">This agreement shall terminate on the date three years from the date of </w:t>
      </w:r>
    </w:p>
    <w:p>
      <w:pPr>
        <w:pStyle w:val="Normal"/>
        <w:ind w:firstLine="720" w:end="0"/>
        <w:jc w:val="both"/>
        <w:rPr>
          <w:rFonts w:ascii="Arial" w:hAnsi="Arial" w:cs="Arial"/>
          <w:sz w:val="24"/>
        </w:rPr>
      </w:pPr>
      <w:r>
        <w:rPr>
          <w:rFonts w:cs="Arial" w:ascii="Arial" w:hAnsi="Arial"/>
          <w:sz w:val="24"/>
        </w:rPr>
        <w:t>this agreement.</w:t>
      </w:r>
    </w:p>
    <w:p>
      <w:pPr>
        <w:pStyle w:val="Normal"/>
        <w:jc w:val="both"/>
        <w:rPr>
          <w:rFonts w:ascii="Arial" w:hAnsi="Arial" w:cs="Arial"/>
          <w:sz w:val="24"/>
        </w:rPr>
      </w:pPr>
      <w:r>
        <w:rPr>
          <w:rFonts w:cs="Arial" w:ascii="Arial" w:hAnsi="Arial"/>
          <w:sz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Very truly yours,</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r>
      <w:r>
        <w:rPr>
          <w:rFonts w:cs="Arial" w:ascii="Arial" w:hAnsi="Arial"/>
          <w:b/>
          <w:sz w:val="24"/>
        </w:rPr>
        <w:t>ENRON NORTH AMERICA CORP.</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By:  ___________________________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Name:  _________________________</w:t>
      </w:r>
    </w:p>
    <w:p>
      <w:pPr>
        <w:pStyle w:val="Normal"/>
        <w:ind w:firstLine="720" w:end="0"/>
        <w:jc w:val="both"/>
        <w:rPr>
          <w:rFonts w:ascii="Arial" w:hAnsi="Arial" w:cs="Arial"/>
          <w:sz w:val="24"/>
        </w:rPr>
      </w:pPr>
      <w:r>
        <w:rPr>
          <w:rFonts w:cs="Arial" w:ascii="Arial" w:hAnsi="Arial"/>
          <w:sz w:val="24"/>
        </w:rPr>
      </w:r>
    </w:p>
    <w:p>
      <w:pPr>
        <w:pStyle w:val="Heading2"/>
        <w:ind w:hanging="0" w:start="0"/>
        <w:rPr/>
      </w:pPr>
      <w:r>
        <w:rPr/>
        <w:t>Agreed and accepted this</w:t>
        <w:tab/>
        <w:tab/>
        <w:tab/>
        <w:t>Title:  __________________________</w:t>
      </w:r>
    </w:p>
    <w:p>
      <w:pPr>
        <w:pStyle w:val="Normal"/>
        <w:jc w:val="both"/>
        <w:rPr>
          <w:rFonts w:ascii="Arial" w:hAnsi="Arial" w:cs="Arial"/>
          <w:sz w:val="24"/>
        </w:rPr>
      </w:pPr>
      <w:r>
        <w:rPr>
          <w:rFonts w:cs="Arial" w:ascii="Arial" w:hAnsi="Arial"/>
          <w:sz w:val="24"/>
        </w:rPr>
        <w:t>___ day of __________, 2000.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CINERGY CORP.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  ___________________________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Name:  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Title:  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#61427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FOR INTERNAL REVIEW </w:t>
    </w:r>
  </w:p>
  <w:p>
    <w:pPr>
      <w:pStyle w:val="Header"/>
      <w:jc w:val="end"/>
      <w:rPr>
        <w:b/>
      </w:rPr>
    </w:pPr>
    <w:r>
      <w:rPr>
        <w:b/>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cs="Arial"/>
      <w:sz w:val="24"/>
    </w:rPr>
  </w:style>
  <w:style w:type="paragraph" w:styleId="WW-BodyText2">
    <w:name w:val="WW-Body Text 2"/>
    <w:basedOn w:val="Normal"/>
    <w:qFormat/>
    <w:pPr>
      <w:ind w:hanging="720" w:start="2880" w:end="0"/>
      <w:jc w:val="both"/>
    </w:pPr>
    <w:rPr>
      <w:rFonts w:ascii="Arial" w:hAnsi="Arial" w:cs="Arial"/>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2000-06-16T15:04:00Z</dcterms:created>
  <dc:creator>PC3546</dc:creator>
  <dc:description/>
  <dc:language>en-CA</dc:language>
  <cp:lastModifiedBy>Ben Rogers</cp:lastModifiedBy>
  <cp:lastPrinted>2000-06-16T12:07:00Z</cp:lastPrinted>
  <dcterms:modified xsi:type="dcterms:W3CDTF">2000-06-16T15:04:00Z</dcterms:modified>
  <cp:revision>2</cp:revision>
  <dc:subject/>
  <dc:title>May 3, 2000</dc:title>
</cp:coreProperties>
</file>