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Cinergy Corp.</w:t>
      </w:r>
    </w:p>
    <w:p>
      <w:pPr>
        <w:pStyle w:val="Normal"/>
        <w:rPr>
          <w:rFonts w:ascii="Arial" w:hAnsi="Arial" w:eastAsia="Arial" w:cs="Arial"/>
          <w:sz w:val="24"/>
          <w:szCs w:val="24"/>
        </w:rPr>
      </w:pPr>
      <w:r>
        <w:rPr>
          <w:rFonts w:eastAsia="Arial" w:cs="Arial" w:ascii="Arial" w:hAnsi="Arial"/>
          <w:sz w:val="24"/>
          <w:szCs w:val="24"/>
        </w:rPr>
        <w:t>139 East Fourth Street</w:t>
      </w:r>
    </w:p>
    <w:p>
      <w:pPr>
        <w:pStyle w:val="Normal"/>
        <w:rPr>
          <w:rFonts w:ascii="Arial" w:hAnsi="Arial" w:eastAsia="Arial" w:cs="Arial"/>
          <w:sz w:val="24"/>
          <w:szCs w:val="24"/>
        </w:rPr>
      </w:pPr>
      <w:r>
        <w:rPr>
          <w:rFonts w:eastAsia="Arial" w:cs="Arial" w:ascii="Arial" w:hAnsi="Arial"/>
          <w:sz w:val="24"/>
          <w:szCs w:val="24"/>
        </w:rPr>
        <w:t>Cincinnati, OH  45202</w:t>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r>
    </w:p>
    <w:p>
      <w:pPr>
        <w:pStyle w:val="Normal"/>
        <w:rPr>
          <w:rFonts w:ascii="Arial" w:hAnsi="Arial" w:eastAsia="Arial" w:cs="Arial"/>
          <w:sz w:val="24"/>
          <w:szCs w:val="24"/>
        </w:rPr>
      </w:pPr>
      <w:r>
        <w:rPr>
          <w:rFonts w:eastAsia="Arial" w:cs="Arial" w:ascii="Arial" w:hAnsi="Arial"/>
          <w:sz w:val="24"/>
          <w:szCs w:val="24"/>
        </w:rPr>
        <w:t>Attn:</w:t>
        <w:tab/>
        <w:t>Mr. Michael J. Cyrus, President of Energy Commodities Business Unit</w:t>
      </w:r>
    </w:p>
    <w:p>
      <w:pPr>
        <w:pStyle w:val="Normal"/>
        <w:rPr>
          <w:rFonts w:ascii="Arial" w:hAnsi="Arial" w:eastAsia="Arial" w:cs="Arial"/>
          <w:sz w:val="24"/>
          <w:szCs w:val="24"/>
        </w:rPr>
      </w:pPr>
      <w:r>
        <w:rPr>
          <w:rFonts w:eastAsia="Arial" w:cs="Arial" w:ascii="Arial" w:hAnsi="Arial"/>
          <w:sz w:val="24"/>
          <w:szCs w:val="24"/>
        </w:rPr>
      </w:r>
    </w:p>
    <w:p>
      <w:pPr>
        <w:pStyle w:val="BodyText2"/>
        <w:rPr>
          <w:rFonts w:ascii="Arial" w:hAnsi="Arial" w:eastAsia="Arial" w:cs="Arial"/>
          <w:sz w:val="24"/>
          <w:szCs w:val="24"/>
        </w:rPr>
      </w:pPr>
      <w:r>
        <w:rPr>
          <w:rFonts w:eastAsia="Arial" w:cs="Arial"/>
          <w:sz w:val="24"/>
          <w:szCs w:val="24"/>
        </w:rPr>
      </w:r>
    </w:p>
    <w:p>
      <w:pPr>
        <w:pStyle w:val="BodyText2"/>
        <w:rPr/>
      </w:pPr>
      <w:r>
        <w:rPr/>
        <w:t>Re:</w:t>
        <w:tab/>
        <w:t>Confidentiality Agreement between Enron North America Corp. (“ENA”) and Cinergy Corp. (“Cinergy”)</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Normal"/>
        <w:ind w:hanging="720" w:start="720" w:end="0"/>
        <w:rPr>
          <w:rFonts w:ascii="Arial" w:hAnsi="Arial" w:eastAsia="Arial" w:cs="Arial"/>
          <w:sz w:val="24"/>
          <w:szCs w:val="24"/>
        </w:rPr>
      </w:pPr>
      <w:r>
        <w:rPr>
          <w:rFonts w:eastAsia="Arial" w:cs="Arial" w:ascii="Arial" w:hAnsi="Arial"/>
          <w:sz w:val="24"/>
          <w:szCs w:val="24"/>
        </w:rPr>
        <w:t>Ladies and Gentlemen:</w:t>
      </w:r>
    </w:p>
    <w:p>
      <w:pPr>
        <w:pStyle w:val="Normal"/>
        <w:ind w:hanging="720" w:start="720" w:end="0"/>
        <w:rPr>
          <w:rFonts w:ascii="Arial" w:hAnsi="Arial" w:eastAsia="Arial" w:cs="Arial"/>
          <w:sz w:val="24"/>
          <w:szCs w:val="24"/>
        </w:rPr>
      </w:pPr>
      <w:r>
        <w:rPr>
          <w:rFonts w:eastAsia="Arial" w:cs="Arial" w:ascii="Arial" w:hAnsi="Arial"/>
          <w:sz w:val="24"/>
          <w:szCs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and ENA are sometimes referred to individually as a “Party” and collectively as the “Parties.”  As a condition to furnishing Confidential Information, the Parties each agree to the following:</w:t>
      </w:r>
    </w:p>
    <w:p>
      <w:pPr>
        <w:pStyle w:val="Normal"/>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pPr>
      <w:r>
        <w:rPr>
          <w:rFonts w:eastAsia="Arial" w:cs="Arial" w:ascii="Arial" w:hAnsi="Arial"/>
          <w:sz w:val="24"/>
          <w:szCs w:val="24"/>
        </w:rPr>
        <w:t xml:space="preserve">A Party shall not disclose the other Party’s Confidential Information without the other Party’s prior written consent; </w:t>
      </w:r>
      <w:r>
        <w:rPr>
          <w:rFonts w:eastAsia="Arial" w:cs="Arial" w:ascii="Arial" w:hAnsi="Arial"/>
          <w:sz w:val="24"/>
          <w:szCs w:val="24"/>
          <w:u w:val="single"/>
        </w:rPr>
        <w:t>provided</w:t>
      </w:r>
      <w:r>
        <w:rPr>
          <w:rFonts w:eastAsia="Arial" w:cs="Arial" w:ascii="Arial" w:hAnsi="Arial"/>
          <w:sz w:val="24"/>
          <w:szCs w:val="24"/>
        </w:rPr>
        <w:t xml:space="preserve">, </w:t>
      </w:r>
      <w:r>
        <w:rPr>
          <w:rFonts w:eastAsia="Arial" w:cs="Arial" w:ascii="Arial" w:hAnsi="Arial"/>
          <w:sz w:val="24"/>
          <w:szCs w:val="24"/>
          <w:u w:val="single"/>
        </w:rPr>
        <w:t>however</w:t>
      </w:r>
      <w:r>
        <w:rPr>
          <w:rFonts w:eastAsia="Arial" w:cs="Arial" w:ascii="Arial" w:hAnsi="Arial"/>
          <w:sz w:val="24"/>
          <w:szCs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Each Party agrees that for a period of twelve (12) months from the date of this agreement, it will not, without the prior written consent of the other Party: [BECAUSE THIS DOCUMENT IS BEING EXECUTED IN THE NAME OF ENA, WE ARE NOT RECEIVING ANY VALUE (BECAUSE ENA IS NOT PUBLICLY TRADED) BY HAVING THIS STANDSTILL PROVISION.  DO WE WANT TO REVISE THIS CONFIDENTIALITY AGREEMENT TO HAVE ENRON CORP AS THE COUNTERPARTY (RECOGNIZING THAT HAVING ENRON CORP AS THE COUNTERPARTY MIGHT EXPAND THE BREADTH OF OUR OBLIGATIONS AND ALSO DEEPEN THE POCKETS FOR SUIT)?]</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WW-BodyText2"/>
        <w:numPr>
          <w:ilvl w:val="0"/>
          <w:numId w:val="0"/>
        </w:numPr>
        <w:ind w:hanging="0" w:start="2880"/>
        <w:rPr/>
      </w:pPr>
      <w:r>
        <w:rPr/>
        <w:t>a.</w:t>
        <w:tab/>
        <w:t>acquire, offer to acquire, or agree to acquire, directly or indirectly, by purchase or otherwise, (i) any voting securities or direct or indirect rights to acquire any voting securities of the other Party or (ii) all or substantially all of the assets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c.</w:t>
        <w:tab/>
        <w:t>form, join or in any way participate in a “group” as defined in Section 13(d)(3) of the Securities Exchange Act of 1934, as amended, in connection with any of the foregoing; or</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t>d.</w:t>
        <w:tab/>
        <w:t>otherwise act, alone or in concert with others (including by providing financing for another party), to seek or offer to control or influence, in any manner, the Board of Directors of the other Party.</w:t>
      </w:r>
    </w:p>
    <w:p>
      <w:pPr>
        <w:pStyle w:val="Normal"/>
        <w:numPr>
          <w:ilvl w:val="0"/>
          <w:numId w:val="0"/>
        </w:numPr>
        <w:ind w:hanging="0" w:start="2880" w:end="0"/>
        <w:jc w:val="both"/>
        <w:rPr>
          <w:rFonts w:ascii="Arial" w:hAnsi="Arial" w:eastAsia="Arial" w:cs="Arial"/>
          <w:sz w:val="24"/>
          <w:szCs w:val="24"/>
        </w:rPr>
      </w:pPr>
      <w:r>
        <w:rPr>
          <w:rFonts w:eastAsia="Arial" w:cs="Arial" w:ascii="Arial" w:hAnsi="Arial"/>
          <w:sz w:val="24"/>
          <w:szCs w:val="24"/>
        </w:rPr>
      </w:r>
    </w:p>
    <w:p>
      <w:pPr>
        <w:pStyle w:val="BodyText"/>
        <w:numPr>
          <w:ilvl w:val="0"/>
          <w:numId w:val="0"/>
        </w:numPr>
        <w:tabs>
          <w:tab w:val="left" w:pos="720" w:leader="none"/>
        </w:tabs>
        <w:ind w:hanging="0" w:start="0"/>
        <w:rPr/>
      </w:pPr>
      <w:r>
        <w:rPr/>
        <w:t>Notwithstanding any provisions of this agreement to the contrary, either Party may acquire securities of the other Party provided that the acquiring Party does not acquire sole or shared voting or dispositive power over voting securities of the other Party that would require the filing of a Schedule 13D.  Because ENA is not a publicly traded company but rather a wholly owned subsidiary of a publicly traded company, Enron Corp. (“Enron”), the term “Party” as used in subsections 5.a., 5.b., 5.c. and 5.d. shall be deemed to refer to Enron (as opposed to ENA).</w:t>
      </w:r>
    </w:p>
    <w:p>
      <w:pPr>
        <w:pStyle w:val="BodyText"/>
        <w:numPr>
          <w:ilvl w:val="0"/>
          <w:numId w:val="0"/>
        </w:numPr>
        <w:tabs>
          <w:tab w:val="left" w:pos="720" w:leader="none"/>
        </w:tabs>
        <w:ind w:hanging="0" w:start="0"/>
        <w:rPr/>
      </w:pPr>
      <w:r>
        <w:rPr/>
      </w:r>
    </w:p>
    <w:p>
      <w:pPr>
        <w:pStyle w:val="Normal"/>
        <w:numPr>
          <w:ilvl w:val="0"/>
          <w:numId w:val="2"/>
        </w:numPr>
        <w:tabs>
          <w:tab w:val="clear" w:pos="720"/>
          <w:tab w:val="left" w:pos="0" w:leader="none"/>
          <w:tab w:val="left" w:pos="360" w:leader="none"/>
        </w:tabs>
        <w:ind w:hanging="1080" w:start="1080" w:end="0"/>
        <w:jc w:val="both"/>
        <w:rPr>
          <w:rFonts w:ascii="Arial" w:hAnsi="Arial" w:eastAsia="Arial" w:cs="Arial"/>
          <w:sz w:val="24"/>
          <w:szCs w:val="24"/>
        </w:rPr>
      </w:pPr>
      <w:r>
        <w:rPr>
          <w:rFonts w:eastAsia="Arial" w:cs="Arial" w:ascii="Arial" w:hAnsi="Arial"/>
          <w:sz w:val="24"/>
          <w:szCs w:val="24"/>
        </w:rPr>
        <w:t>Each of the Parties agrees that, for a period of six (6) months from the date of this agreement, it will not, without the prior written consent of the other Party, directly solicit or actively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direct solicitation from the Party or its Representatives and (ii) conducting general solicitations for employees which are not specifically targeted at the other Party’s employees.  Notwithstanding anything contained herein to the contrary, any solicitation contemplated by the foregoing provisions shall not constitute a breach of this agreement if (i) the personnel who performed such solicitation have no knowledge of any Confidential Information and (ii) none of the personnel who have knowledge of any Confidential Information have actual advance knowledge of any such solicitation.</w:t>
      </w:r>
    </w:p>
    <w:p>
      <w:pPr>
        <w:pStyle w:val="Normal"/>
        <w:numPr>
          <w:ilvl w:val="0"/>
          <w:numId w:val="0"/>
        </w:numPr>
        <w:tabs>
          <w:tab w:val="left" w:pos="720" w:leader="none"/>
        </w:tabs>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0" w:start="720" w:end="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1080" w:start="1080" w:end="0"/>
        <w:jc w:val="both"/>
        <w:rPr>
          <w:rFonts w:ascii="Arial" w:hAnsi="Arial" w:eastAsia="Arial" w:cs="Arial"/>
          <w:sz w:val="24"/>
          <w:szCs w:val="24"/>
        </w:rPr>
      </w:pPr>
      <w:r>
        <w:rPr>
          <w:rFonts w:eastAsia="Arial" w:cs="Arial" w:ascii="Arial" w:hAnsi="Arial"/>
          <w:sz w:val="24"/>
          <w:szCs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eastAsia="Arial" w:cs="Arial"/>
          <w:sz w:val="24"/>
          <w:szCs w:val="24"/>
        </w:rPr>
      </w:pPr>
      <w:r>
        <w:rPr>
          <w:rFonts w:eastAsia="Arial" w:cs="Arial" w:ascii="Arial" w:hAnsi="Arial"/>
          <w:sz w:val="24"/>
          <w:szCs w:val="24"/>
        </w:rPr>
      </w:r>
    </w:p>
    <w:p>
      <w:pPr>
        <w:pStyle w:val="Normal"/>
        <w:numPr>
          <w:ilvl w:val="0"/>
          <w:numId w:val="2"/>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eastAsia="Arial" w:cs="Arial"/>
          <w:sz w:val="24"/>
          <w:szCs w:val="24"/>
        </w:rPr>
      </w:pPr>
      <w:r>
        <w:rPr>
          <w:rFonts w:eastAsia="Arial" w:cs="Arial" w:ascii="Arial" w:hAnsi="Arial"/>
          <w:sz w:val="24"/>
          <w:szCs w:val="24"/>
        </w:rPr>
      </w:r>
    </w:p>
    <w:p>
      <w:pPr>
        <w:pStyle w:val="Normal"/>
        <w:ind w:hanging="720" w:start="720" w:end="0"/>
        <w:jc w:val="both"/>
        <w:rPr>
          <w:rFonts w:ascii="Arial" w:hAnsi="Arial" w:eastAsia="Arial" w:cs="Arial"/>
          <w:sz w:val="24"/>
          <w:szCs w:val="24"/>
        </w:rPr>
      </w:pPr>
      <w:r>
        <w:rPr>
          <w:rFonts w:eastAsia="Arial" w:cs="Arial" w:ascii="Arial" w:hAnsi="Arial"/>
          <w:sz w:val="24"/>
          <w:szCs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szCs w:val="24"/>
        </w:rPr>
      </w:pPr>
      <w:r>
        <w:rPr>
          <w:rFonts w:eastAsia="Arial" w:cs="Arial" w:ascii="Arial" w:hAnsi="Arial"/>
          <w:sz w:val="24"/>
          <w:szCs w:val="24"/>
        </w:rPr>
        <w:t xml:space="preserve"> </w:t>
      </w:r>
    </w:p>
    <w:p>
      <w:pPr>
        <w:pStyle w:val="Normal"/>
        <w:numPr>
          <w:ilvl w:val="0"/>
          <w:numId w:val="3"/>
        </w:numPr>
        <w:tabs>
          <w:tab w:val="clear" w:pos="720"/>
          <w:tab w:val="left" w:pos="0" w:leader="none"/>
        </w:tabs>
        <w:ind w:hanging="360" w:start="1080" w:end="0"/>
        <w:jc w:val="both"/>
        <w:rPr>
          <w:rFonts w:ascii="Arial" w:hAnsi="Arial" w:eastAsia="Arial" w:cs="Arial"/>
          <w:sz w:val="24"/>
          <w:szCs w:val="24"/>
        </w:rPr>
      </w:pPr>
      <w:r>
        <w:rPr>
          <w:rFonts w:eastAsia="Arial" w:cs="Arial" w:ascii="Arial" w:hAnsi="Arial"/>
          <w:sz w:val="24"/>
          <w:szCs w:val="24"/>
        </w:rPr>
        <w:t xml:space="preserve">This agreement shall terminate on the date three years from the date of </w:t>
      </w:r>
    </w:p>
    <w:p>
      <w:pPr>
        <w:pStyle w:val="Normal"/>
        <w:ind w:firstLine="720" w:end="0"/>
        <w:jc w:val="both"/>
        <w:rPr>
          <w:rFonts w:ascii="Arial" w:hAnsi="Arial" w:eastAsia="Arial" w:cs="Arial"/>
          <w:sz w:val="24"/>
          <w:szCs w:val="24"/>
        </w:rPr>
      </w:pPr>
      <w:r>
        <w:rPr>
          <w:rFonts w:eastAsia="Arial" w:cs="Arial" w:ascii="Arial" w:hAnsi="Arial"/>
          <w:sz w:val="24"/>
          <w:szCs w:val="24"/>
        </w:rPr>
        <w:t>this agreement.</w:t>
      </w:r>
    </w:p>
    <w:p>
      <w:pPr>
        <w:pStyle w:val="Normal"/>
        <w:jc w:val="both"/>
        <w:rPr>
          <w:rFonts w:ascii="Arial" w:hAnsi="Arial" w:eastAsia="Arial" w:cs="Arial"/>
          <w:sz w:val="24"/>
          <w:szCs w:val="24"/>
        </w:rPr>
      </w:pPr>
      <w:r>
        <w:rPr>
          <w:rFonts w:eastAsia="Arial" w:cs="Arial" w:ascii="Arial" w:hAnsi="Arial"/>
          <w:sz w:val="24"/>
          <w:szCs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Very truly yours,</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r>
      <w:r>
        <w:rPr>
          <w:rFonts w:eastAsia="Arial" w:cs="Arial" w:ascii="Arial" w:hAnsi="Arial"/>
          <w:b/>
          <w:bCs/>
          <w:sz w:val="24"/>
          <w:szCs w:val="24"/>
        </w:rPr>
        <w:t>ENRON NORTH AMERICA CORP.</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By:  ___________________________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tab/>
        <w:tab/>
        <w:tab/>
        <w:tab/>
        <w:tab/>
        <w:t>Name:  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Heading2"/>
        <w:ind w:hanging="0" w:start="0"/>
        <w:rPr/>
      </w:pPr>
      <w:r>
        <w:rPr/>
        <w:t>Agreed and accepted this</w:t>
        <w:tab/>
        <w:tab/>
        <w:tab/>
        <w:t>Title:  __________________________</w:t>
      </w:r>
    </w:p>
    <w:p>
      <w:pPr>
        <w:pStyle w:val="Normal"/>
        <w:jc w:val="both"/>
        <w:rPr>
          <w:rFonts w:ascii="Arial" w:hAnsi="Arial" w:eastAsia="Arial" w:cs="Arial"/>
          <w:sz w:val="24"/>
          <w:szCs w:val="24"/>
        </w:rPr>
      </w:pPr>
      <w:r>
        <w:rPr>
          <w:rFonts w:eastAsia="Arial" w:cs="Arial" w:ascii="Arial" w:hAnsi="Arial"/>
          <w:sz w:val="24"/>
          <w:szCs w:val="24"/>
        </w:rPr>
        <w:t>___ day of __________, 2000.</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b/>
          <w:bCs/>
          <w:sz w:val="24"/>
          <w:szCs w:val="24"/>
        </w:rPr>
        <w:t>CINERGY CORP.</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By:  ___________________________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Name:  ________________________</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Title:  __________________________</w:t>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p>
      <w:pPr>
        <w:pStyle w:val="Normal"/>
        <w:ind w:firstLine="720" w:end="0"/>
        <w:jc w:val="both"/>
        <w:rPr>
          <w:rFonts w:ascii="Arial" w:hAnsi="Arial" w:eastAsia="Arial" w:cs="Arial"/>
          <w:sz w:val="24"/>
          <w:szCs w:val="24"/>
        </w:rPr>
      </w:pPr>
      <w:r>
        <w:rPr>
          <w:rFonts w:eastAsia="Arial" w:cs="Arial" w:ascii="Arial" w:hAnsi="Arial"/>
          <w:sz w:val="24"/>
          <w:szCs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fldChar w:fldCharType="begin"/>
    </w:r>
    <w:r>
      <w:rPr>
        <w:sz w:val="16"/>
        <w:szCs w:val="16"/>
        <w:rFonts w:eastAsia="Arial" w:cs="Arial" w:ascii="Arial" w:hAnsi="Arial"/>
      </w:rPr>
      <w:instrText xml:space="preserve"> FILENAME \p </w:instrText>
    </w:r>
    <w:r>
      <w:rPr>
        <w:sz w:val="16"/>
        <w:szCs w:val="16"/>
        <w:rFonts w:eastAsia="Arial" w:cs="Arial" w:ascii="Arial" w:hAnsi="Arial"/>
      </w:rPr>
      <w:fldChar w:fldCharType="separate"/>
    </w:r>
    <w:r>
      <w:rPr>
        <w:sz w:val="16"/>
        <w:szCs w:val="16"/>
        <w:rFonts w:eastAsia="Arial" w:cs="Arial" w:ascii="Arial" w:hAnsi="Arial"/>
      </w:rPr>
      <w:t>/mnt/main-storage/datasets/enron-docs/doc/CinergyCA4-7b8836f3abefbdc8f638f4af846f4a0eee669192f1535bce226565c4eab25248.DOC</w:t>
    </w:r>
    <w:r>
      <w:rPr>
        <w:sz w:val="16"/>
        <w:szCs w:val="16"/>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 xml:space="preserve">DRAFT FOR INTERNAL REVIEW </w:t>
    </w:r>
  </w:p>
  <w:p>
    <w:pPr>
      <w:pStyle w:val="Header"/>
      <w:jc w:val="end"/>
      <w:rPr>
        <w:b/>
        <w:bCs/>
      </w:rPr>
    </w:pPr>
    <w:r>
      <w:rPr>
        <w:b/>
        <w:bCs/>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eastAsia="Arial" w:cs="Arial"/>
      <w:sz w:val="24"/>
      <w:szCs w:val="24"/>
    </w:rPr>
  </w:style>
  <w:style w:type="paragraph" w:styleId="Heading2">
    <w:name w:val="heading 2"/>
    <w:basedOn w:val="Normal"/>
    <w:next w:val="Normal"/>
    <w:qFormat/>
    <w:pPr>
      <w:keepNext w:val="true"/>
      <w:numPr>
        <w:ilvl w:val="1"/>
        <w:numId w:val="1"/>
      </w:numPr>
      <w:jc w:val="both"/>
      <w:outlineLvl w:val="1"/>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eastAsia="Arial" w:cs="Arial"/>
      <w:sz w:val="24"/>
      <w:szCs w:val="24"/>
    </w:rPr>
  </w:style>
  <w:style w:type="paragraph" w:styleId="WW-BodyText2">
    <w:name w:val="WW-Body Text 2"/>
    <w:basedOn w:val="Normal"/>
    <w:qFormat/>
    <w:pPr>
      <w:ind w:hanging="720" w:start="2880" w:end="0"/>
      <w:jc w:val="both"/>
    </w:pPr>
    <w:rPr>
      <w:rFonts w:ascii="Arial" w:hAnsi="Arial" w:eastAsia="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2000-06-15T17:27:00Z</dcterms:created>
  <dc:creator>PC3546</dc:creator>
  <dc:description/>
  <dc:language>en-CA</dc:language>
  <cp:lastModifiedBy>szisman</cp:lastModifiedBy>
  <cp:lastPrinted>2000-06-15T10:48:00Z</cp:lastPrinted>
  <dcterms:modified xsi:type="dcterms:W3CDTF">2000-06-15T19:51:00Z</dcterms:modified>
  <cp:revision>3</cp:revision>
  <dc:subject/>
  <dc:title>May 3, 2000</dc:title>
</cp:coreProperties>
</file>