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DRAFT #4  12/11/00 </w:t>
      </w:r>
    </w:p>
    <w:p>
      <w:pPr>
        <w:pStyle w:val="Normal"/>
        <w:jc w:val="end"/>
        <w:rPr>
          <w:b/>
        </w:rPr>
      </w:pPr>
      <w:r>
        <w:rPr>
          <w:b/>
        </w:rPr>
      </w:r>
    </w:p>
    <w:p>
      <w:pPr>
        <w:pStyle w:val="Normal"/>
        <w:jc w:val="end"/>
        <w:rPr>
          <w:b/>
        </w:rPr>
      </w:pPr>
      <w:r>
        <w:rPr>
          <w:b/>
        </w:rPr>
        <w:t>ATTORNEY WORK PRODUCT</w:t>
      </w:r>
    </w:p>
    <w:p>
      <w:pPr>
        <w:pStyle w:val="Normal"/>
        <w:jc w:val="end"/>
        <w:rPr>
          <w:b/>
        </w:rPr>
      </w:pPr>
      <w:r>
        <w:rPr>
          <w:b/>
        </w:rPr>
        <w:t>PRIVILEGED &amp; CONFIDENTIAL</w:t>
      </w:r>
    </w:p>
    <w:p>
      <w:pPr>
        <w:pStyle w:val="Normal"/>
        <w:rPr/>
      </w:pPr>
      <w:r>
        <w:rPr/>
      </w:r>
    </w:p>
    <w:p>
      <w:pPr>
        <w:pStyle w:val="Normal"/>
        <w:rPr/>
      </w:pPr>
      <w:r>
        <w:rPr/>
      </w:r>
    </w:p>
    <w:p>
      <w:pPr>
        <w:pStyle w:val="Normal"/>
        <w:jc w:val="center"/>
        <w:rPr>
          <w:b/>
        </w:rPr>
      </w:pPr>
      <w:r>
        <w:rPr>
          <w:b/>
        </w:rPr>
        <w:tab/>
        <w:t>CINERGY AGREES TO ACQUIRE TWO MERCHANT</w:t>
      </w:r>
    </w:p>
    <w:p>
      <w:pPr>
        <w:pStyle w:val="Normal"/>
        <w:jc w:val="center"/>
        <w:rPr>
          <w:b/>
        </w:rPr>
      </w:pPr>
      <w:r>
        <w:rPr>
          <w:rFonts w:eastAsia="Arial"/>
          <w:b/>
        </w:rPr>
        <w:t xml:space="preserve"> </w:t>
      </w:r>
      <w:r>
        <w:rPr>
          <w:b/>
        </w:rPr>
        <w:t xml:space="preserve">GENERATING PLANTS FROM ENRON </w:t>
      </w:r>
    </w:p>
    <w:p>
      <w:pPr>
        <w:pStyle w:val="Normal"/>
        <w:spacing w:lineRule="auto" w:line="360"/>
        <w:jc w:val="center"/>
        <w:rPr/>
      </w:pPr>
      <w:r>
        <w:rPr/>
      </w:r>
    </w:p>
    <w:p>
      <w:pPr>
        <w:pStyle w:val="Normal"/>
        <w:spacing w:lineRule="auto" w:line="360"/>
        <w:rPr/>
      </w:pPr>
      <w:r>
        <w:rPr/>
        <w:t>CINCINNATI -- Cinergy Capital &amp; Trading, Inc., a non-regulated affiliate of Cinergy Corp. (NYSE: CIN), announced that it has agreed to acquire two natural gas-fired merchant electric generating facilities located in the southeastern United States from Enron North America.  The acquisition would add about 1,000 megawatts to Cinergy’s generation portfolio, bringing its total owned, operated or under development to approximately 21,000 megawatts.</w:t>
      </w:r>
    </w:p>
    <w:p>
      <w:pPr>
        <w:pStyle w:val="Normal"/>
        <w:spacing w:lineRule="auto" w:line="360"/>
        <w:rPr/>
      </w:pPr>
      <w:r>
        <w:rPr/>
      </w:r>
    </w:p>
    <w:p>
      <w:pPr>
        <w:pStyle w:val="Normal"/>
        <w:spacing w:lineRule="auto" w:line="360"/>
        <w:rPr/>
      </w:pPr>
      <w:r>
        <w:rPr/>
        <w:t>The acquisition consists of Enron’s 494-megawatt Brownsville generation facility located in Haywood County, Tennessee and the 504-megawatt Caledonia generation facility located in Lowndes County, Mississippi.  Brownsville has four natural gas-fired combustion turbines and Caledonia has six.  Both stations entered into service in June 1999.  Both facilities are located in the Southeastern Electric Reliability Council (SERC) region and are interconnected to the Tennessee Valley Authority’s transmission system.</w:t>
      </w:r>
    </w:p>
    <w:p>
      <w:pPr>
        <w:pStyle w:val="Normal"/>
        <w:spacing w:lineRule="auto" w:line="360"/>
        <w:rPr/>
      </w:pPr>
      <w:r>
        <w:rPr/>
      </w:r>
    </w:p>
    <w:p>
      <w:pPr>
        <w:pStyle w:val="Normal"/>
        <w:spacing w:lineRule="auto" w:line="360"/>
        <w:rPr/>
      </w:pPr>
      <w:r>
        <w:rPr/>
        <w:t>Financial terms of the transaction were not disclosed.</w:t>
      </w:r>
    </w:p>
    <w:p>
      <w:pPr>
        <w:pStyle w:val="Normal"/>
        <w:spacing w:lineRule="auto" w:line="360"/>
        <w:rPr/>
      </w:pPr>
      <w:r>
        <w:rPr/>
      </w:r>
    </w:p>
    <w:p>
      <w:pPr>
        <w:pStyle w:val="Normal"/>
        <w:spacing w:lineRule="auto" w:line="360"/>
        <w:rPr/>
      </w:pPr>
      <w:r>
        <w:rPr/>
        <w:t>“</w:t>
      </w:r>
      <w:r>
        <w:rPr/>
        <w:t xml:space="preserve">Cinergy has created a regional leadership position in the Midwest power market and is focused on strategic opportunities to expand our footprint,” said Michael J. Cyrus, president of Cinergy Capital &amp; Trading.  “This acquisition represents Cinergy’s on-going focus on the merchant generation business and the diversification and growth of our generation portfolio. Since the Southeast is among the fastest growing areas of the country, these facilities provide excellent optionality to create value and diversify risks in the energy markets.” </w:t>
      </w:r>
    </w:p>
    <w:p>
      <w:pPr>
        <w:pStyle w:val="Normal"/>
        <w:spacing w:lineRule="auto" w:line="360"/>
        <w:rPr/>
      </w:pPr>
      <w:r>
        <w:rPr/>
      </w:r>
    </w:p>
    <w:p>
      <w:pPr>
        <w:pStyle w:val="Normal"/>
        <w:spacing w:lineRule="auto" w:line="360"/>
        <w:rPr/>
      </w:pPr>
      <w:r>
        <w:rPr/>
      </w:r>
    </w:p>
    <w:p>
      <w:pPr>
        <w:pStyle w:val="Normal"/>
        <w:spacing w:lineRule="auto" w:line="360"/>
        <w:rPr/>
      </w:pPr>
      <w:r>
        <w:rPr/>
        <w:t>The completion of the acquisition is subject to, among other things, receipt of approval of the Federal Energy Regulatory Commission and expiration of the waiting period under the Hart-Scott-Rodino Antitrust Improvements Act of 1976.  Cinergy currently expects that regulatory approvals would be obtained and the transaction will close in Spring 2001.</w:t>
      </w:r>
    </w:p>
    <w:p>
      <w:pPr>
        <w:pStyle w:val="Normal"/>
        <w:rPr>
          <w:b/>
        </w:rPr>
      </w:pPr>
      <w:r>
        <w:rPr>
          <w:b/>
        </w:rPr>
      </w:r>
    </w:p>
    <w:p>
      <w:pPr>
        <w:pStyle w:val="Normal"/>
        <w:spacing w:lineRule="auto" w:line="360"/>
        <w:rPr/>
      </w:pPr>
      <w:r>
        <w:rPr/>
        <w:t xml:space="preserve">Cinergy Capital &amp; Trading, Inc. is a non-regulated energy marketing and project development affiliate of Cinergy Corp., one of the nation’s leading diversified energy companies, with a total enterprise value of $8.5 billion and assets of $10 billion.  Cinergy owns or operates nearly 20,000 megawatts of electrical and combined heat plant generation that is either operational or under development domestically and internationally.  It also has 55,000 miles of electric and gas transmission lines in the United States and abroad and approximately 9,000 employees in nine countries.  Its largest operating companies, The Cincinnati Gas &amp; Electric Company and PSI Energy, Inc., serve more than 1.4 million electric customers and 478,000 gas customers in Indiana, Ohio and Kentucky.  </w:t>
      </w:r>
    </w:p>
    <w:p>
      <w:pPr>
        <w:pStyle w:val="Normal"/>
        <w:spacing w:lineRule="auto" w:line="360"/>
        <w:rPr/>
      </w:pPr>
      <w:r>
        <w:rPr/>
      </w:r>
    </w:p>
    <w:p>
      <w:pPr>
        <w:pStyle w:val="Normal"/>
        <w:spacing w:lineRule="auto" w:line="360"/>
        <w:rPr/>
      </w:pPr>
      <w:r>
        <w:rPr/>
        <w:t>Cinergy is active in U.S. power and natural gas markets and maintains a 24-hour-a-day, seven-day-a-week trading operation.  The interconnections of Cinergy’s Midwestern transmission assets give it access to 37 percent of the total U.S. energy consumption.  In 1998 the New York Mercantile Exchange selected Cinergy to be its transmission hub for Midwest electricity futures trading, which has become the most active hub in the United States.</w:t>
      </w:r>
    </w:p>
    <w:p>
      <w:pPr>
        <w:pStyle w:val="Normal"/>
        <w:spacing w:lineRule="auto" w:line="360"/>
        <w:rPr/>
      </w:pPr>
      <w:r>
        <w:rPr/>
      </w:r>
    </w:p>
    <w:p>
      <w:pPr>
        <w:pStyle w:val="Normal"/>
        <w:spacing w:lineRule="auto" w:line="360"/>
        <w:rPr/>
      </w:pPr>
      <w:r>
        <w:rPr/>
        <w:t>In addition to its U.S. operations, Cinergy owns and operates power generation, transmission and distribution assets in the Czech Republic, Spain, the United Kingdom, Zambia, Kenya, South Africa and Estonia.  Cinergy is also active in European gas and electricity markets.</w:t>
      </w:r>
    </w:p>
    <w:p>
      <w:pPr>
        <w:pStyle w:val="Normal"/>
        <w:rPr/>
      </w:pPr>
      <w:r>
        <w:rPr/>
      </w:r>
    </w:p>
    <w:p>
      <w:pPr>
        <w:pStyle w:val="Normal"/>
        <w:jc w:val="center"/>
        <w:rPr/>
      </w:pPr>
      <w:r>
        <w:rPr/>
        <w:t>##</w:t>
      </w:r>
    </w:p>
    <w:p>
      <w:pPr>
        <w:pStyle w:val="Normal"/>
        <w:rPr/>
      </w:pPr>
      <w:r>
        <w:rPr/>
      </w:r>
    </w:p>
    <w:p>
      <w:pPr>
        <w:pStyle w:val="Normal"/>
        <w:rPr>
          <w:i/>
          <w:i/>
          <w:sz w:val="20"/>
        </w:rPr>
      </w:pPr>
      <w:r>
        <w:rPr>
          <w:i/>
          <w:sz w:val="20"/>
        </w:rPr>
        <w:t>Statements made in this release that convey the company's or management's intentions, expectations or predictions of the future are forward-looking statements.  The company's actual results could differ materially from those projected in the forward-looking statements, and there can be no assurance that estimates of future results will be achieved.  Please refer to the company's SEC filings for additional information concerning factors that could cause actual results to differ materially from those in the forward-looking statements.</w:t>
      </w:r>
    </w:p>
    <w:p>
      <w:pPr>
        <w:pStyle w:val="Normal"/>
        <w:rPr>
          <w:i/>
          <w:i/>
          <w:sz w:val="20"/>
        </w:rPr>
      </w:pPr>
      <w:r>
        <w:rPr>
          <w:i/>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2000-12-11T18:38:00Z</dcterms:created>
  <dc:creator>t08635</dc:creator>
  <dc:description/>
  <dc:language>en-CA</dc:language>
  <cp:lastModifiedBy>Eric William Thode</cp:lastModifiedBy>
  <dcterms:modified xsi:type="dcterms:W3CDTF">2000-12-11T18:38:00Z</dcterms:modified>
  <cp:revision>2</cp:revision>
  <dc:subject/>
  <dc:title>CC&amp;T-Enron</dc:title>
</cp:coreProperties>
</file>