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b/>
          <w:bCs/>
          <w:sz w:val="24"/>
        </w:rPr>
        <w:t>Cindy Skinner</w:t>
      </w:r>
    </w:p>
    <w:p>
      <w:pPr>
        <w:pStyle w:val="Heading1"/>
        <w:ind w:hanging="0" w:start="0"/>
        <w:jc w:val="center"/>
        <w:rPr>
          <w:b/>
          <w:bCs/>
          <w:sz w:val="20"/>
        </w:rPr>
      </w:pPr>
      <w:r>
        <w:rPr>
          <w:b/>
          <w:bCs/>
          <w:sz w:val="20"/>
        </w:rPr>
        <w:t>3119 Glenwood Dr., Pearland, TX  77584</w:t>
      </w:r>
    </w:p>
    <w:p>
      <w:pPr>
        <w:pStyle w:val="Heading1"/>
        <w:ind w:hanging="0" w:start="0"/>
        <w:jc w:val="center"/>
        <w:rPr>
          <w:b/>
          <w:bCs/>
          <w:sz w:val="20"/>
        </w:rPr>
      </w:pPr>
      <w:r>
        <w:rPr>
          <w:b/>
          <w:bCs/>
          <w:sz w:val="20"/>
        </w:rPr>
        <w:t xml:space="preserve">281-412-4069 (home)   </w:t>
        <w:tab/>
      </w:r>
      <w:hyperlink r:id="rId2">
        <w:r>
          <w:rPr>
            <w:rStyle w:val="Hyperlink"/>
            <w:b/>
            <w:bCs/>
            <w:sz w:val="20"/>
          </w:rPr>
          <w:t>aa8588@aol.com</w:t>
        </w:r>
      </w:hyperlink>
      <w:r>
        <w:rPr>
          <w:b/>
          <w:bCs/>
          <w:sz w:val="20"/>
        </w:rPr>
        <w:t xml:space="preserve"> (email)</w:t>
      </w:r>
    </w:p>
    <w:p>
      <w:pPr>
        <w:pStyle w:val="Normal"/>
        <w:rPr>
          <w:rFonts w:ascii="Comic Sans MS" w:hAnsi="Comic Sans MS" w:cs="Comic Sans MS"/>
          <w:b/>
          <w:bCs/>
          <w:sz w:val="20"/>
        </w:rPr>
      </w:pPr>
      <w:r>
        <w:rPr>
          <w:rFonts w:cs="Comic Sans MS" w:ascii="Comic Sans MS" w:hAnsi="Comic Sans MS"/>
          <w:b/>
          <w:bCs/>
          <w:sz w:val="20"/>
        </w:rPr>
      </w:r>
    </w:p>
    <w:p>
      <w:pPr>
        <w:pStyle w:val="Heading2"/>
        <w:ind w:hanging="0" w:start="0"/>
        <w:rPr>
          <w:b/>
          <w:bCs/>
          <w:sz w:val="20"/>
        </w:rPr>
      </w:pPr>
      <w:r>
        <w:rPr>
          <w:b/>
          <w:bCs/>
          <w:sz w:val="20"/>
        </w:rPr>
        <w:t>Profile</w:t>
      </w:r>
    </w:p>
    <w:p>
      <w:pPr>
        <w:pStyle w:val="Normal"/>
        <w:rPr>
          <w:b/>
          <w:bCs/>
          <w:sz w:val="20"/>
        </w:rPr>
      </w:pPr>
      <w:r>
        <w:rPr>
          <w:b/>
          <w:bCs/>
          <w:sz w:val="20"/>
        </w:rPr>
      </w:r>
    </w:p>
    <w:p>
      <w:pPr>
        <w:pStyle w:val="Normal"/>
        <w:rPr>
          <w:rFonts w:ascii="Comic Sans MS" w:hAnsi="Comic Sans MS" w:cs="Comic Sans MS"/>
          <w:sz w:val="20"/>
        </w:rPr>
      </w:pPr>
      <w:r>
        <w:rPr>
          <w:rFonts w:cs="Comic Sans MS" w:ascii="Comic Sans MS" w:hAnsi="Comic Sans MS"/>
          <w:sz w:val="20"/>
        </w:rPr>
        <w:t>HR leader with 11 years domestic and international human resources experience in the following areas:  mergers, acquisitions and divestitures, generalist/HR advisor, variable compensation/benefits, employee relations, training and organizational development, performance management, recruiting, retention and compliance.</w:t>
      </w:r>
    </w:p>
    <w:p>
      <w:pPr>
        <w:pStyle w:val="Normal"/>
        <w:rPr>
          <w:rFonts w:ascii="Comic Sans MS" w:hAnsi="Comic Sans MS" w:cs="Comic Sans MS"/>
          <w:sz w:val="20"/>
        </w:rPr>
      </w:pPr>
      <w:r>
        <w:rPr>
          <w:rFonts w:cs="Comic Sans MS" w:ascii="Comic Sans MS" w:hAnsi="Comic Sans MS"/>
          <w:sz w:val="20"/>
        </w:rPr>
      </w:r>
    </w:p>
    <w:p>
      <w:pPr>
        <w:pStyle w:val="Heading2"/>
        <w:ind w:hanging="0" w:start="0"/>
        <w:rPr>
          <w:b/>
          <w:bCs/>
          <w:sz w:val="20"/>
        </w:rPr>
      </w:pPr>
      <w:r>
        <w:rPr>
          <w:b/>
          <w:bCs/>
          <w:sz w:val="20"/>
        </w:rPr>
        <w:t>Education</w:t>
      </w:r>
    </w:p>
    <w:p>
      <w:pPr>
        <w:pStyle w:val="Normal"/>
        <w:rPr>
          <w:rFonts w:ascii="Comic Sans MS" w:hAnsi="Comic Sans MS" w:cs="Comic Sans MS"/>
          <w:b/>
          <w:bCs/>
          <w:sz w:val="20"/>
        </w:rPr>
      </w:pPr>
      <w:r>
        <w:rPr>
          <w:rFonts w:cs="Comic Sans MS" w:ascii="Comic Sans MS" w:hAnsi="Comic Sans MS"/>
          <w:b/>
          <w:bCs/>
          <w:sz w:val="20"/>
        </w:rPr>
      </w:r>
    </w:p>
    <w:p>
      <w:pPr>
        <w:pStyle w:val="Normal"/>
        <w:rPr>
          <w:rFonts w:ascii="Comic Sans MS" w:hAnsi="Comic Sans MS" w:cs="Comic Sans MS"/>
          <w:sz w:val="20"/>
        </w:rPr>
      </w:pPr>
      <w:r>
        <w:rPr>
          <w:rFonts w:cs="Comic Sans MS" w:ascii="Comic Sans MS" w:hAnsi="Comic Sans MS"/>
          <w:sz w:val="20"/>
        </w:rPr>
        <w:t>B.S., Marketing – Teikyo Post University, Waterbury, CT (Cum Laude), 1994</w:t>
      </w:r>
    </w:p>
    <w:p>
      <w:pPr>
        <w:pStyle w:val="Normal"/>
        <w:rPr>
          <w:rFonts w:ascii="Comic Sans MS" w:hAnsi="Comic Sans MS" w:cs="Comic Sans MS"/>
          <w:sz w:val="20"/>
        </w:rPr>
      </w:pPr>
      <w:r>
        <w:rPr>
          <w:rFonts w:cs="Comic Sans MS" w:ascii="Comic Sans MS" w:hAnsi="Comic Sans MS"/>
          <w:sz w:val="20"/>
        </w:rPr>
      </w:r>
    </w:p>
    <w:p>
      <w:pPr>
        <w:pStyle w:val="Heading2"/>
        <w:ind w:hanging="0" w:start="0"/>
        <w:rPr>
          <w:b/>
          <w:bCs/>
          <w:sz w:val="20"/>
        </w:rPr>
      </w:pPr>
      <w:r>
        <w:rPr>
          <w:b/>
          <w:bCs/>
          <w:sz w:val="20"/>
        </w:rPr>
        <w:t>Experience</w:t>
      </w:r>
    </w:p>
    <w:p>
      <w:pPr>
        <w:pStyle w:val="Heading3"/>
        <w:ind w:hanging="0" w:start="0"/>
        <w:jc w:val="center"/>
        <w:rPr>
          <w:sz w:val="20"/>
        </w:rPr>
      </w:pPr>
      <w:r>
        <w:rPr>
          <w:sz w:val="20"/>
        </w:rPr>
        <w:t>ENRON  -  1998 to Present</w:t>
      </w:r>
    </w:p>
    <w:p>
      <w:pPr>
        <w:pStyle w:val="Normal"/>
        <w:rPr>
          <w:rFonts w:ascii="Comic Sans MS" w:hAnsi="Comic Sans MS" w:cs="Comic Sans MS"/>
          <w:b/>
          <w:bCs/>
          <w:sz w:val="20"/>
        </w:rPr>
      </w:pPr>
      <w:r>
        <w:rPr>
          <w:rFonts w:cs="Comic Sans MS" w:ascii="Comic Sans MS" w:hAnsi="Comic Sans MS"/>
          <w:b/>
          <w:bCs/>
          <w:sz w:val="20"/>
        </w:rPr>
      </w:r>
    </w:p>
    <w:p>
      <w:pPr>
        <w:pStyle w:val="Normal"/>
        <w:rPr>
          <w:rFonts w:ascii="Comic Sans MS" w:hAnsi="Comic Sans MS" w:cs="Comic Sans MS"/>
          <w:sz w:val="20"/>
        </w:rPr>
      </w:pPr>
      <w:r>
        <w:rPr>
          <w:rFonts w:cs="Comic Sans MS" w:ascii="Comic Sans MS" w:hAnsi="Comic Sans MS"/>
          <w:b/>
          <w:bCs/>
          <w:sz w:val="20"/>
        </w:rPr>
        <w:t xml:space="preserve">Sr. HR Director, Mergers, Acquisitions and Divestitures (2001 to present). </w:t>
      </w:r>
      <w:r>
        <w:rPr>
          <w:rFonts w:cs="Comic Sans MS" w:ascii="Comic Sans MS" w:hAnsi="Comic Sans MS"/>
          <w:sz w:val="20"/>
        </w:rPr>
        <w:t xml:space="preserve">HR team lead for 18 projects in various commodity businesses (freight, pulp &amp; paper, power, natural gas, coal, engineering &amp; construction, exploration &amp; production.  Conducted due diligence at target company sites.  Provided analysis and reporting which identified and valued significant HR risk such as legal exposure (unlawful and unethical business practices), financial impact of compensation programs (change in control triggers, severance plans, bonus and long term incentives), and organizational/ cultural issues.  Created business-specific transition/retention compensation plans for quick integration of key talent affected my acquisitions or divestitures.    Five direct reports.  </w:t>
      </w:r>
    </w:p>
    <w:p>
      <w:pPr>
        <w:pStyle w:val="Normal"/>
        <w:rPr>
          <w:rFonts w:ascii="Comic Sans MS" w:hAnsi="Comic Sans MS" w:cs="Comic Sans MS"/>
          <w:b/>
          <w:bCs/>
          <w:sz w:val="20"/>
        </w:rPr>
      </w:pPr>
      <w:r>
        <w:rPr>
          <w:rFonts w:cs="Comic Sans MS" w:ascii="Comic Sans MS" w:hAnsi="Comic Sans MS"/>
          <w:b/>
          <w:bCs/>
          <w:sz w:val="20"/>
        </w:rPr>
      </w:r>
    </w:p>
    <w:p>
      <w:pPr>
        <w:pStyle w:val="Normal"/>
        <w:rPr>
          <w:rFonts w:ascii="Comic Sans MS" w:hAnsi="Comic Sans MS" w:cs="Comic Sans MS"/>
          <w:sz w:val="20"/>
        </w:rPr>
      </w:pPr>
      <w:r>
        <w:rPr>
          <w:rFonts w:cs="Comic Sans MS" w:ascii="Comic Sans MS" w:hAnsi="Comic Sans MS"/>
          <w:b/>
          <w:bCs/>
          <w:sz w:val="20"/>
        </w:rPr>
        <w:t xml:space="preserve">Sr. HR Director, Performance and Resource Management  (2000-2001). </w:t>
      </w:r>
      <w:r>
        <w:rPr>
          <w:rFonts w:cs="Comic Sans MS" w:ascii="Comic Sans MS" w:hAnsi="Comic Sans MS"/>
          <w:sz w:val="20"/>
        </w:rPr>
        <w:t xml:space="preserve"> Responsible for improving employee and group performance through talent redeployment, organizational restructuring, training and development, and performance improvement initiatives.  Established Enron-wide metrics and reporting as well as resources and tools to monitor and improve performance.  Implemented customized performance improvement plans to maintain high performing workforce and identified additional opportunities for employees who were challenged in their current roles. One direct report.  Assumed interim role as HR executive in charge of Enron Engineering and Operational Services charged with integrating the unit into Enron Wholesale Services and changing the organizational structure and culture from revenue generation to service provider linked to commercial origination units in Enron.  Nine direct reports.</w:t>
      </w:r>
    </w:p>
    <w:p>
      <w:pPr>
        <w:pStyle w:val="Normal"/>
        <w:rPr>
          <w:rFonts w:ascii="Comic Sans MS" w:hAnsi="Comic Sans MS" w:cs="Comic Sans MS"/>
          <w:b/>
          <w:bCs/>
          <w:sz w:val="20"/>
        </w:rPr>
      </w:pPr>
      <w:r>
        <w:rPr>
          <w:rFonts w:cs="Comic Sans MS" w:ascii="Comic Sans MS" w:hAnsi="Comic Sans MS"/>
          <w:b/>
          <w:bCs/>
          <w:sz w:val="20"/>
        </w:rPr>
      </w:r>
    </w:p>
    <w:p>
      <w:pPr>
        <w:pStyle w:val="Normal"/>
        <w:rPr/>
      </w:pPr>
      <w:r>
        <w:rPr>
          <w:rFonts w:cs="Comic Sans MS" w:ascii="Comic Sans MS" w:hAnsi="Comic Sans MS"/>
          <w:b/>
          <w:bCs/>
          <w:sz w:val="20"/>
        </w:rPr>
        <w:t>HR Director, Business Consulting</w:t>
      </w:r>
      <w:r>
        <w:rPr>
          <w:rFonts w:cs="Comic Sans MS" w:ascii="Comic Sans MS" w:hAnsi="Comic Sans MS"/>
          <w:sz w:val="20"/>
        </w:rPr>
        <w:t xml:space="preserve"> </w:t>
      </w:r>
      <w:r>
        <w:rPr>
          <w:rFonts w:cs="Comic Sans MS" w:ascii="Comic Sans MS" w:hAnsi="Comic Sans MS"/>
          <w:b/>
          <w:bCs/>
          <w:sz w:val="20"/>
        </w:rPr>
        <w:t>(1999-2000</w:t>
      </w:r>
      <w:r>
        <w:rPr>
          <w:rFonts w:cs="Comic Sans MS" w:ascii="Comic Sans MS" w:hAnsi="Comic Sans MS"/>
          <w:sz w:val="20"/>
        </w:rPr>
        <w:t>).  Sr. HR generalist and team lead for Enron Global Markets (EGM) and Enron North America (ENA) , responsible for supporting approximately 5,000 clients in the following areas:   Executive Offices, Trading, Origination, Finance, Legal, Research, Accounting and Risk Management.  Functional HR responsibility for operations in Tokyo, Singapore, Sydney, London, San Juan and the Middle East.  Global responsibility for implementing variable compensation programs in EGM and ENA including base, bonus and long- term equity plans as well as Enron’s comprehensive semi-annual performance review process.  Key aspect of this position was to negotiate effective executive employment contracts with key talent for long term retention.  Additional duties included employee relations and investigations, organizational development and training, recruiting, retention and compliance.  Twenty direct reports.</w:t>
      </w:r>
    </w:p>
    <w:p>
      <w:pPr>
        <w:pStyle w:val="Normal"/>
        <w:rPr>
          <w:rFonts w:ascii="Comic Sans MS" w:hAnsi="Comic Sans MS" w:cs="Comic Sans MS"/>
          <w:b/>
          <w:bCs/>
          <w:sz w:val="20"/>
        </w:rPr>
      </w:pPr>
      <w:r>
        <w:rPr>
          <w:rFonts w:cs="Comic Sans MS" w:ascii="Comic Sans MS" w:hAnsi="Comic Sans MS"/>
          <w:b/>
          <w:bCs/>
          <w:sz w:val="20"/>
        </w:rPr>
      </w:r>
    </w:p>
    <w:p>
      <w:pPr>
        <w:pStyle w:val="Normal"/>
        <w:rPr>
          <w:rFonts w:ascii="Comic Sans MS" w:hAnsi="Comic Sans MS" w:cs="Comic Sans MS"/>
          <w:b/>
          <w:bCs/>
          <w:sz w:val="20"/>
        </w:rPr>
      </w:pPr>
      <w:r>
        <w:rPr>
          <w:rFonts w:cs="Comic Sans MS" w:ascii="Comic Sans MS" w:hAnsi="Comic Sans MS"/>
          <w:b/>
          <w:bCs/>
          <w:sz w:val="20"/>
        </w:rPr>
        <w:t>Cindy Skinner</w:t>
      </w:r>
    </w:p>
    <w:p>
      <w:pPr>
        <w:pStyle w:val="Normal"/>
        <w:rPr>
          <w:rFonts w:ascii="Comic Sans MS" w:hAnsi="Comic Sans MS" w:cs="Comic Sans MS"/>
          <w:b/>
          <w:bCs/>
          <w:sz w:val="20"/>
        </w:rPr>
      </w:pPr>
      <w:r>
        <w:rPr>
          <w:rFonts w:cs="Comic Sans MS" w:ascii="Comic Sans MS" w:hAnsi="Comic Sans MS"/>
          <w:b/>
          <w:bCs/>
          <w:sz w:val="20"/>
        </w:rPr>
        <w:t>Page 2</w:t>
      </w:r>
    </w:p>
    <w:p>
      <w:pPr>
        <w:pStyle w:val="Normal"/>
        <w:jc w:val="center"/>
        <w:rPr>
          <w:rFonts w:ascii="Comic Sans MS" w:hAnsi="Comic Sans MS" w:cs="Comic Sans MS"/>
          <w:b/>
          <w:bCs/>
          <w:sz w:val="20"/>
        </w:rPr>
      </w:pPr>
      <w:r>
        <w:rPr>
          <w:rFonts w:cs="Comic Sans MS" w:ascii="Comic Sans MS" w:hAnsi="Comic Sans MS"/>
          <w:b/>
          <w:bCs/>
          <w:sz w:val="20"/>
        </w:rPr>
      </w:r>
    </w:p>
    <w:p>
      <w:pPr>
        <w:pStyle w:val="Normal"/>
        <w:jc w:val="center"/>
        <w:rPr>
          <w:rFonts w:ascii="Comic Sans MS" w:hAnsi="Comic Sans MS" w:cs="Comic Sans MS"/>
          <w:b/>
          <w:bCs/>
          <w:sz w:val="20"/>
        </w:rPr>
      </w:pPr>
      <w:r>
        <w:rPr>
          <w:rFonts w:cs="Comic Sans MS" w:ascii="Comic Sans MS" w:hAnsi="Comic Sans MS"/>
          <w:b/>
          <w:bCs/>
          <w:sz w:val="20"/>
        </w:rPr>
      </w:r>
    </w:p>
    <w:p>
      <w:pPr>
        <w:pStyle w:val="Normal"/>
        <w:jc w:val="center"/>
        <w:rPr>
          <w:rFonts w:ascii="Comic Sans MS" w:hAnsi="Comic Sans MS" w:cs="Comic Sans MS"/>
          <w:b/>
          <w:bCs/>
          <w:sz w:val="20"/>
        </w:rPr>
      </w:pPr>
      <w:r>
        <w:rPr>
          <w:rFonts w:cs="Comic Sans MS" w:ascii="Comic Sans MS" w:hAnsi="Comic Sans MS"/>
          <w:b/>
          <w:bCs/>
          <w:sz w:val="20"/>
        </w:rPr>
        <w:t>Enron Experience, cont.</w:t>
      </w:r>
    </w:p>
    <w:p>
      <w:pPr>
        <w:pStyle w:val="Normal"/>
        <w:rPr>
          <w:rFonts w:ascii="Comic Sans MS" w:hAnsi="Comic Sans MS" w:cs="Comic Sans MS"/>
          <w:b/>
          <w:bCs/>
          <w:sz w:val="20"/>
        </w:rPr>
      </w:pPr>
      <w:r>
        <w:rPr>
          <w:rFonts w:cs="Comic Sans MS" w:ascii="Comic Sans MS" w:hAnsi="Comic Sans MS"/>
          <w:b/>
          <w:bCs/>
          <w:sz w:val="20"/>
        </w:rPr>
      </w:r>
    </w:p>
    <w:p>
      <w:pPr>
        <w:pStyle w:val="Normal"/>
        <w:rPr/>
      </w:pPr>
      <w:r>
        <w:rPr>
          <w:rFonts w:cs="Comic Sans MS" w:ascii="Comic Sans MS" w:hAnsi="Comic Sans MS"/>
          <w:b/>
          <w:bCs/>
          <w:sz w:val="20"/>
        </w:rPr>
        <w:t>HR Manager, Business Consulting (1998–1999).</w:t>
      </w:r>
      <w:r>
        <w:rPr>
          <w:rFonts w:cs="Comic Sans MS" w:ascii="Comic Sans MS" w:hAnsi="Comic Sans MS"/>
          <w:sz w:val="20"/>
        </w:rPr>
        <w:t xml:space="preserve">  HR generalist for approximately 400 clients in Legal, Finance, Risk Management and Research.  Duties included employee relations and investigations, implementation of variable base, bonus and long-term compensation, negotiation and execution of employment agreements for mid-level key talent, analysis and reporting through HRIS (Oracle/EPC and SAP), benefits administration, training and organizational development, performance management, recruiting, retention and compliance.</w:t>
      </w:r>
    </w:p>
    <w:p>
      <w:pPr>
        <w:pStyle w:val="Normal"/>
        <w:rPr>
          <w:rFonts w:ascii="Comic Sans MS" w:hAnsi="Comic Sans MS" w:cs="Comic Sans MS"/>
          <w:sz w:val="20"/>
        </w:rPr>
      </w:pPr>
      <w:r>
        <w:rPr>
          <w:rFonts w:cs="Comic Sans MS" w:ascii="Comic Sans MS" w:hAnsi="Comic Sans MS"/>
          <w:sz w:val="20"/>
        </w:rPr>
      </w:r>
    </w:p>
    <w:p>
      <w:pPr>
        <w:pStyle w:val="Normal"/>
        <w:jc w:val="center"/>
        <w:rPr>
          <w:rFonts w:ascii="Comic Sans MS" w:hAnsi="Comic Sans MS" w:cs="Comic Sans MS"/>
          <w:b/>
          <w:bCs/>
          <w:sz w:val="20"/>
        </w:rPr>
      </w:pPr>
      <w:r>
        <w:rPr>
          <w:rFonts w:cs="Comic Sans MS" w:ascii="Comic Sans MS" w:hAnsi="Comic Sans MS"/>
          <w:b/>
          <w:bCs/>
          <w:sz w:val="20"/>
        </w:rPr>
        <w:t>CHARTER BEHAVIORAL HEALTH SYSTEM   -   1994 to 1998</w:t>
      </w:r>
    </w:p>
    <w:p>
      <w:pPr>
        <w:pStyle w:val="Normal"/>
        <w:rPr>
          <w:rFonts w:ascii="Comic Sans MS" w:hAnsi="Comic Sans MS" w:cs="Comic Sans MS"/>
          <w:b/>
          <w:bCs/>
          <w:sz w:val="20"/>
        </w:rPr>
      </w:pPr>
      <w:r>
        <w:rPr>
          <w:rFonts w:cs="Comic Sans MS" w:ascii="Comic Sans MS" w:hAnsi="Comic Sans MS"/>
          <w:b/>
          <w:bCs/>
          <w:sz w:val="20"/>
        </w:rPr>
      </w:r>
    </w:p>
    <w:p>
      <w:pPr>
        <w:pStyle w:val="Normal"/>
        <w:rPr/>
      </w:pPr>
      <w:r>
        <w:rPr>
          <w:rFonts w:cs="Comic Sans MS" w:ascii="Comic Sans MS" w:hAnsi="Comic Sans MS"/>
          <w:b/>
          <w:bCs/>
          <w:sz w:val="20"/>
        </w:rPr>
        <w:t xml:space="preserve">Regional Director, Human Resources &amp; Staff Development (1997-1998). </w:t>
      </w:r>
      <w:r>
        <w:rPr>
          <w:rFonts w:cs="Comic Sans MS" w:ascii="Comic Sans MS" w:hAnsi="Comic Sans MS"/>
          <w:sz w:val="20"/>
        </w:rPr>
        <w:t>HR responsibility for approximately 450 clients at three Texas psychiatric hospitals including compensation, recruiting, benefits administration, staff development, compliance and employee relations.  Member of senior management team responsible for implementing HR strategies to ensure attainment of business goals at each facility.  Significant responsibility for Texas Department of Health and JCAHO compliance initiatives.  Three direct reports.</w:t>
      </w:r>
    </w:p>
    <w:p>
      <w:pPr>
        <w:pStyle w:val="Normal"/>
        <w:rPr>
          <w:rFonts w:ascii="Comic Sans MS" w:hAnsi="Comic Sans MS" w:cs="Comic Sans MS"/>
          <w:b/>
          <w:bCs/>
          <w:sz w:val="20"/>
        </w:rPr>
      </w:pPr>
      <w:r>
        <w:rPr>
          <w:rFonts w:cs="Comic Sans MS" w:ascii="Comic Sans MS" w:hAnsi="Comic Sans MS"/>
          <w:b/>
          <w:bCs/>
          <w:sz w:val="20"/>
        </w:rPr>
      </w:r>
    </w:p>
    <w:p>
      <w:pPr>
        <w:pStyle w:val="Normal"/>
        <w:rPr>
          <w:rFonts w:ascii="Comic Sans MS" w:hAnsi="Comic Sans MS" w:cs="Comic Sans MS"/>
          <w:sz w:val="20"/>
        </w:rPr>
      </w:pPr>
      <w:r>
        <w:rPr>
          <w:rFonts w:cs="Comic Sans MS" w:ascii="Comic Sans MS" w:hAnsi="Comic Sans MS"/>
          <w:b/>
          <w:bCs/>
          <w:sz w:val="20"/>
        </w:rPr>
        <w:t>Director, Human Resources (1994-1997)</w:t>
      </w:r>
      <w:r>
        <w:rPr>
          <w:rFonts w:cs="Comic Sans MS" w:ascii="Comic Sans MS" w:hAnsi="Comic Sans MS"/>
          <w:sz w:val="20"/>
        </w:rPr>
        <w:t>.  Generalist responsibilities for approximately 150 clients at Texas psychiatric hospital.  Duties included headcount management, compensation, benefits, recruiting, employee relations and performance management.  Patient advocacy responsibilities for the facility.</w:t>
      </w:r>
    </w:p>
    <w:p>
      <w:pPr>
        <w:pStyle w:val="Heading3"/>
        <w:ind w:hanging="0" w:start="0"/>
        <w:rPr>
          <w:sz w:val="20"/>
        </w:rPr>
      </w:pPr>
      <w:r>
        <w:rPr>
          <w:rFonts w:eastAsia="Comic Sans MS"/>
          <w:sz w:val="20"/>
        </w:rPr>
        <w:t xml:space="preserve"> </w:t>
      </w:r>
    </w:p>
    <w:p>
      <w:pPr>
        <w:pStyle w:val="Heading3"/>
        <w:ind w:hanging="0" w:start="0"/>
        <w:jc w:val="center"/>
        <w:rPr>
          <w:sz w:val="20"/>
        </w:rPr>
      </w:pPr>
      <w:r>
        <w:rPr>
          <w:sz w:val="20"/>
        </w:rPr>
        <w:t>UNITED TECHNOLOGIES CORPORATION  -  1984 to 1994</w:t>
      </w:r>
    </w:p>
    <w:p>
      <w:pPr>
        <w:pStyle w:val="Normal"/>
        <w:rPr>
          <w:rFonts w:ascii="Comic Sans MS" w:hAnsi="Comic Sans MS" w:cs="Comic Sans MS"/>
          <w:b/>
          <w:bCs/>
          <w:sz w:val="20"/>
        </w:rPr>
      </w:pPr>
      <w:r>
        <w:rPr>
          <w:rFonts w:cs="Comic Sans MS" w:ascii="Comic Sans MS" w:hAnsi="Comic Sans MS"/>
          <w:b/>
          <w:bCs/>
          <w:sz w:val="20"/>
        </w:rPr>
      </w:r>
    </w:p>
    <w:p>
      <w:pPr>
        <w:pStyle w:val="Normal"/>
        <w:rPr>
          <w:rFonts w:ascii="Comic Sans MS" w:hAnsi="Comic Sans MS" w:cs="Comic Sans MS"/>
          <w:sz w:val="20"/>
        </w:rPr>
      </w:pPr>
      <w:r>
        <w:rPr>
          <w:rFonts w:cs="Comic Sans MS" w:ascii="Comic Sans MS" w:hAnsi="Comic Sans MS"/>
          <w:b/>
          <w:bCs/>
          <w:sz w:val="20"/>
        </w:rPr>
        <w:t>Coordinator, Human Resources – Corp. HQ ( 1992–1994).</w:t>
      </w:r>
      <w:r>
        <w:rPr>
          <w:rFonts w:cs="Comic Sans MS" w:ascii="Comic Sans MS" w:hAnsi="Comic Sans MS"/>
          <w:sz w:val="20"/>
        </w:rPr>
        <w:t xml:space="preserve">  Recruiting and employee relations specialist for approximately 600 corporate employees in Finance and Accounting functions.   Conducted entry/mid level recruiting searches, administered the new hire and orientation processes, and handled applicant flow tracking and reporting.  Conducted employee investigations related to EEOC charges.</w:t>
      </w:r>
    </w:p>
    <w:p>
      <w:pPr>
        <w:pStyle w:val="Normal"/>
        <w:rPr>
          <w:rFonts w:ascii="Comic Sans MS" w:hAnsi="Comic Sans MS" w:cs="Comic Sans MS"/>
          <w:b/>
          <w:bCs/>
          <w:sz w:val="20"/>
        </w:rPr>
      </w:pPr>
      <w:r>
        <w:rPr>
          <w:rFonts w:cs="Comic Sans MS" w:ascii="Comic Sans MS" w:hAnsi="Comic Sans MS"/>
          <w:b/>
          <w:bCs/>
          <w:sz w:val="20"/>
        </w:rPr>
      </w:r>
    </w:p>
    <w:p>
      <w:pPr>
        <w:pStyle w:val="Normal"/>
        <w:rPr/>
      </w:pPr>
      <w:r>
        <w:rPr>
          <w:rFonts w:cs="Comic Sans MS" w:ascii="Comic Sans MS" w:hAnsi="Comic Sans MS"/>
          <w:b/>
          <w:bCs/>
          <w:sz w:val="20"/>
        </w:rPr>
        <w:t>Coordinator, Compensation &amp; Benefits – Carrier Div. (1990-1992</w:t>
      </w:r>
      <w:r>
        <w:rPr>
          <w:rFonts w:cs="Comic Sans MS" w:ascii="Comic Sans MS" w:hAnsi="Comic Sans MS"/>
          <w:sz w:val="20"/>
        </w:rPr>
        <w:t>).  Responsible for administering health and welfare benefits for active employees and retirees, functional HR budget development and tracking, and employee relations.</w:t>
      </w:r>
    </w:p>
    <w:p>
      <w:pPr>
        <w:pStyle w:val="Normal"/>
        <w:rPr>
          <w:rFonts w:ascii="Comic Sans MS" w:hAnsi="Comic Sans MS" w:cs="Comic Sans MS"/>
          <w:b/>
          <w:bCs/>
          <w:sz w:val="20"/>
        </w:rPr>
      </w:pPr>
      <w:r>
        <w:rPr>
          <w:rFonts w:cs="Comic Sans MS" w:ascii="Comic Sans MS" w:hAnsi="Comic Sans MS"/>
          <w:b/>
          <w:bCs/>
          <w:sz w:val="20"/>
        </w:rPr>
      </w:r>
    </w:p>
    <w:p>
      <w:pPr>
        <w:pStyle w:val="Normal"/>
        <w:rPr/>
      </w:pPr>
      <w:r>
        <w:rPr>
          <w:rFonts w:cs="Comic Sans MS" w:ascii="Comic Sans MS" w:hAnsi="Comic Sans MS"/>
          <w:b/>
          <w:bCs/>
          <w:sz w:val="20"/>
        </w:rPr>
        <w:t xml:space="preserve">Executive Assistant to CEO – Carrier Div. (1990).  </w:t>
      </w:r>
      <w:r>
        <w:rPr>
          <w:rFonts w:cs="Comic Sans MS" w:ascii="Comic Sans MS" w:hAnsi="Comic Sans MS"/>
          <w:sz w:val="20"/>
        </w:rPr>
        <w:t>Assisted CEO with all executive, administrative and customer relations responsibilities.</w:t>
      </w:r>
    </w:p>
    <w:p>
      <w:pPr>
        <w:pStyle w:val="Normal"/>
        <w:rPr>
          <w:rFonts w:ascii="Comic Sans MS" w:hAnsi="Comic Sans MS" w:cs="Comic Sans MS"/>
          <w:b/>
          <w:bCs/>
          <w:sz w:val="20"/>
        </w:rPr>
      </w:pPr>
      <w:r>
        <w:rPr>
          <w:rFonts w:cs="Comic Sans MS" w:ascii="Comic Sans MS" w:hAnsi="Comic Sans MS"/>
          <w:b/>
          <w:bCs/>
          <w:sz w:val="20"/>
        </w:rPr>
      </w:r>
    </w:p>
    <w:p>
      <w:pPr>
        <w:pStyle w:val="Normal"/>
        <w:rPr/>
      </w:pPr>
      <w:r>
        <w:rPr>
          <w:rFonts w:cs="Comic Sans MS" w:ascii="Comic Sans MS" w:hAnsi="Comic Sans MS"/>
          <w:b/>
          <w:bCs/>
          <w:sz w:val="20"/>
        </w:rPr>
        <w:t xml:space="preserve">Sr. Marketing Assistant – Pratt &amp; Whitney Div. (1984-1990).  </w:t>
      </w:r>
      <w:r>
        <w:rPr>
          <w:rFonts w:cs="Comic Sans MS" w:ascii="Comic Sans MS" w:hAnsi="Comic Sans MS"/>
          <w:sz w:val="20"/>
        </w:rPr>
        <w:t xml:space="preserve">Responsible for assisting marketing managers with European aerospace client activities including sales campaigns, contract renewals and research.  </w:t>
      </w:r>
    </w:p>
    <w:sectPr>
      <w:type w:val="nextPage"/>
      <w:pgSz w:w="12240" w:h="15840"/>
      <w:pgMar w:left="1440" w:right="1440" w:gutter="0" w:header="0" w:top="144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Comic Sans MS" w:hAnsi="Comic Sans MS" w:cs="Comic Sans MS"/>
      <w:sz w:val="28"/>
    </w:rPr>
  </w:style>
  <w:style w:type="paragraph" w:styleId="Heading2">
    <w:name w:val="heading 2"/>
    <w:basedOn w:val="Normal"/>
    <w:next w:val="Normal"/>
    <w:qFormat/>
    <w:pPr>
      <w:keepNext w:val="true"/>
      <w:numPr>
        <w:ilvl w:val="1"/>
        <w:numId w:val="1"/>
      </w:numPr>
      <w:outlineLvl w:val="1"/>
    </w:pPr>
    <w:rPr>
      <w:rFonts w:ascii="Comic Sans MS" w:hAnsi="Comic Sans MS" w:cs="Comic Sans MS"/>
      <w:u w:val="single"/>
    </w:rPr>
  </w:style>
  <w:style w:type="paragraph" w:styleId="Heading3">
    <w:name w:val="heading 3"/>
    <w:basedOn w:val="Normal"/>
    <w:next w:val="Normal"/>
    <w:qFormat/>
    <w:pPr>
      <w:keepNext w:val="true"/>
      <w:numPr>
        <w:ilvl w:val="2"/>
        <w:numId w:val="1"/>
      </w:numPr>
      <w:outlineLvl w:val="2"/>
    </w:pPr>
    <w:rPr>
      <w:rFonts w:ascii="Comic Sans MS" w:hAnsi="Comic Sans MS" w:cs="Comic Sans MS"/>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a8588@ao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2001-11-17T13:56:00Z</dcterms:created>
  <dc:creator>cskinne</dc:creator>
  <dc:description/>
  <dc:language>en-CA</dc:language>
  <cp:lastModifiedBy>CINDY SKINNER</cp:lastModifiedBy>
  <cp:lastPrinted>2001-12-14T08:26:00Z</cp:lastPrinted>
  <dcterms:modified xsi:type="dcterms:W3CDTF">2001-12-19T13:18:00Z</dcterms:modified>
  <cp:revision>16</cp:revision>
  <dc:subject/>
  <dc:title>Enron</dc:title>
</cp:coreProperties>
</file>