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CHRISTIAAN M. HUIZER</w:t>
      </w:r>
    </w:p>
    <w:p>
      <w:pPr>
        <w:pStyle w:val="Heading"/>
        <w:rPr>
          <w:rFonts w:ascii="Times New Roman" w:hAnsi="Times New Roman" w:cs="Times New Roman"/>
        </w:rPr>
      </w:pPr>
      <w:r>
        <w:rPr>
          <w:rFonts w:cs="Times New Roman" w:ascii="Times New Roman" w:hAnsi="Times New Roman"/>
        </w:rPr>
      </w:r>
    </w:p>
    <w:tbl>
      <w:tblPr>
        <w:tblW w:w="10440" w:type="dxa"/>
        <w:jc w:val="start"/>
        <w:tblInd w:w="108" w:type="dxa"/>
        <w:tblLayout w:type="fixed"/>
        <w:tblCellMar>
          <w:top w:w="0" w:type="dxa"/>
          <w:start w:w="108" w:type="dxa"/>
          <w:bottom w:w="0" w:type="dxa"/>
          <w:end w:w="108" w:type="dxa"/>
        </w:tblCellMar>
      </w:tblPr>
      <w:tblGrid>
        <w:gridCol w:w="3150"/>
        <w:gridCol w:w="3150"/>
        <w:gridCol w:w="4140"/>
      </w:tblGrid>
      <w:tr>
        <w:trPr/>
        <w:tc>
          <w:tcPr>
            <w:tcW w:w="3150" w:type="dxa"/>
            <w:tcBorders/>
          </w:tcPr>
          <w:p>
            <w:pPr>
              <w:pStyle w:val="Normal"/>
              <w:ind w:start="-108" w:end="0"/>
              <w:jc w:val="center"/>
              <w:rPr>
                <w:i/>
                <w:i/>
                <w:sz w:val="22"/>
              </w:rPr>
            </w:pPr>
            <w:r>
              <w:rPr>
                <w:i/>
                <w:sz w:val="22"/>
              </w:rPr>
              <w:t>US/Mail Address:</w:t>
            </w:r>
          </w:p>
          <w:p>
            <w:pPr>
              <w:pStyle w:val="Normal"/>
              <w:ind w:start="-108" w:end="0"/>
              <w:jc w:val="center"/>
              <w:rPr>
                <w:sz w:val="22"/>
              </w:rPr>
            </w:pPr>
            <w:r>
              <w:rPr>
                <w:sz w:val="22"/>
              </w:rPr>
              <w:t>1880 White Oak Drive, 112</w:t>
            </w:r>
          </w:p>
          <w:p>
            <w:pPr>
              <w:pStyle w:val="Normal"/>
              <w:ind w:start="-108" w:end="0"/>
              <w:jc w:val="center"/>
              <w:rPr>
                <w:sz w:val="22"/>
              </w:rPr>
            </w:pPr>
            <w:r>
              <w:rPr>
                <w:sz w:val="22"/>
              </w:rPr>
              <w:t>Houston, TX 77009</w:t>
            </w:r>
          </w:p>
          <w:p>
            <w:pPr>
              <w:pStyle w:val="Normal"/>
              <w:ind w:start="-108" w:end="0"/>
              <w:jc w:val="center"/>
              <w:rPr>
                <w:sz w:val="22"/>
              </w:rPr>
            </w:pPr>
            <w:r>
              <w:rPr>
                <w:sz w:val="22"/>
              </w:rPr>
              <w:t>713 345 5424 (voice mail)</w:t>
            </w:r>
          </w:p>
        </w:tc>
        <w:tc>
          <w:tcPr>
            <w:tcW w:w="3150" w:type="dxa"/>
            <w:tcBorders/>
          </w:tcPr>
          <w:p>
            <w:pPr>
              <w:pStyle w:val="Normal"/>
              <w:jc w:val="center"/>
              <w:rPr>
                <w:i/>
                <w:i/>
                <w:sz w:val="22"/>
              </w:rPr>
            </w:pPr>
            <w:r>
              <w:rPr>
                <w:i/>
                <w:sz w:val="22"/>
              </w:rPr>
              <w:t>Email:</w:t>
            </w:r>
          </w:p>
          <w:p>
            <w:pPr>
              <w:pStyle w:val="Normal"/>
              <w:jc w:val="center"/>
              <w:rPr>
                <w:i/>
                <w:i/>
                <w:sz w:val="22"/>
              </w:rPr>
            </w:pPr>
            <w:hyperlink r:id="rId2">
              <w:r>
                <w:rPr>
                  <w:rStyle w:val="Hyperlink"/>
                </w:rPr>
                <w:t>chuizer@lycos.com</w:t>
              </w:r>
            </w:hyperlink>
          </w:p>
          <w:p>
            <w:pPr>
              <w:pStyle w:val="Normal"/>
              <w:jc w:val="center"/>
              <w:rPr>
                <w:i/>
                <w:i/>
                <w:sz w:val="22"/>
              </w:rPr>
            </w:pPr>
            <w:hyperlink r:id="rId3">
              <w:r>
                <w:rPr>
                  <w:rStyle w:val="Hyperlink"/>
                </w:rPr>
                <w:t>chuizer@enron.com</w:t>
              </w:r>
            </w:hyperlink>
          </w:p>
          <w:p>
            <w:pPr>
              <w:pStyle w:val="Normal"/>
              <w:jc w:val="center"/>
              <w:rPr>
                <w:i/>
                <w:i/>
                <w:sz w:val="22"/>
              </w:rPr>
            </w:pPr>
            <w:r>
              <w:rPr>
                <w:i/>
                <w:sz w:val="22"/>
              </w:rPr>
            </w:r>
          </w:p>
          <w:p>
            <w:pPr>
              <w:pStyle w:val="Normal"/>
              <w:jc w:val="center"/>
              <w:rPr>
                <w:sz w:val="22"/>
              </w:rPr>
            </w:pPr>
            <w:r>
              <w:rPr>
                <w:sz w:val="22"/>
              </w:rPr>
            </w:r>
          </w:p>
        </w:tc>
        <w:tc>
          <w:tcPr>
            <w:tcW w:w="4140" w:type="dxa"/>
            <w:tcBorders/>
          </w:tcPr>
          <w:p>
            <w:pPr>
              <w:pStyle w:val="Heading1"/>
              <w:ind w:hanging="0" w:start="0"/>
              <w:rPr>
                <w:sz w:val="22"/>
              </w:rPr>
            </w:pPr>
            <w:r>
              <w:rPr>
                <w:sz w:val="22"/>
              </w:rPr>
              <w:t>Current Address:</w:t>
            </w:r>
          </w:p>
          <w:p>
            <w:pPr>
              <w:pStyle w:val="Normal"/>
              <w:jc w:val="center"/>
              <w:rPr>
                <w:sz w:val="22"/>
              </w:rPr>
            </w:pPr>
            <w:r>
              <w:rPr>
                <w:sz w:val="22"/>
              </w:rPr>
              <w:t>Rodovia dos Imigrantes, 3770</w:t>
            </w:r>
          </w:p>
          <w:p>
            <w:pPr>
              <w:pStyle w:val="Normal"/>
              <w:jc w:val="center"/>
              <w:rPr>
                <w:sz w:val="22"/>
              </w:rPr>
            </w:pPr>
            <w:r>
              <w:rPr>
                <w:sz w:val="22"/>
              </w:rPr>
              <w:t>Novo Distrito Industrial</w:t>
            </w:r>
          </w:p>
          <w:p>
            <w:pPr>
              <w:pStyle w:val="Normal"/>
              <w:jc w:val="center"/>
              <w:rPr>
                <w:sz w:val="22"/>
              </w:rPr>
            </w:pPr>
            <w:r>
              <w:rPr>
                <w:sz w:val="22"/>
              </w:rPr>
              <w:t>Cuiabá, MT, Brazil</w:t>
            </w:r>
          </w:p>
          <w:p>
            <w:pPr>
              <w:pStyle w:val="Normal"/>
              <w:jc w:val="center"/>
              <w:rPr>
                <w:sz w:val="22"/>
              </w:rPr>
            </w:pPr>
            <w:r>
              <w:rPr>
                <w:sz w:val="22"/>
              </w:rPr>
              <w:t>+55 65 9972 2752</w:t>
            </w:r>
          </w:p>
        </w:tc>
      </w:tr>
    </w:tbl>
    <w:p>
      <w:pPr>
        <w:pStyle w:val="Normal"/>
        <w:jc w:val="center"/>
        <w:rPr>
          <w:sz w:val="22"/>
          <w:lang w:val="en-CA" w:eastAsia="en-CA"/>
        </w:rPr>
      </w:pPr>
      <w:r>
        <w:rPr>
          <w:sz w:val="22"/>
          <w:lang w:val="en-CA" w:eastAsia="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7620</wp:posOffset>
                </wp:positionV>
                <wp:extent cx="6583680" cy="0"/>
                <wp:effectExtent l="0" t="15875" r="0" b="15875"/>
                <wp:wrapNone/>
                <wp:docPr id="1" name=""/>
                <a:graphic xmlns:a="http://schemas.openxmlformats.org/drawingml/2006/main">
                  <a:graphicData uri="http://schemas.microsoft.com/office/word/2010/wordprocessingShape">
                    <wps:wsp>
                      <wps:cNvSpPr/>
                      <wps:spPr>
                        <a:xfrm>
                          <a:off x="0" y="0"/>
                          <a:ext cx="6583680" cy="0"/>
                        </a:xfrm>
                        <a:prstGeom prst="line">
                          <a:avLst/>
                        </a:prstGeom>
                        <a:ln w="31680">
                          <a:solidFill>
                            <a:srgbClr val="000000"/>
                          </a:solidFill>
                          <a:miter/>
                        </a:ln>
                      </wps:spPr>
                      <wps:style>
                        <a:lnRef idx="0"/>
                        <a:fillRef idx="0"/>
                        <a:effectRef idx="0"/>
                        <a:fontRef idx="minor"/>
                      </wps:style>
                      <wps:bodyPr/>
                    </wps:wsp>
                  </a:graphicData>
                </a:graphic>
              </wp:anchor>
            </w:drawing>
          </mc:Choice>
          <mc:Fallback>
            <w:pict>
              <v:line id="shape_0" from="0pt,0.6pt" to="518.35pt,0.6pt" stroked="t" o:allowincell="f" style="position:absolute">
                <v:stroke color="black" weight="31680" joinstyle="miter" endcap="flat"/>
                <v:fill o:detectmouseclick="t" on="false"/>
                <w10:wrap type="none"/>
              </v:line>
            </w:pict>
          </mc:Fallback>
        </mc:AlternateContent>
      </w:r>
    </w:p>
    <w:p>
      <w:pPr>
        <w:pStyle w:val="Heading5"/>
        <w:ind w:hanging="0" w:start="0"/>
        <w:rPr>
          <w:rFonts w:ascii="Times New Roman" w:hAnsi="Times New Roman" w:cs="Times New Roman"/>
        </w:rPr>
      </w:pPr>
      <w:r>
        <w:rPr>
          <w:rFonts w:cs="Times New Roman" w:ascii="Times New Roman" w:hAnsi="Times New Roman"/>
        </w:rPr>
        <w:t>OBJECTIVE</w:t>
      </w:r>
    </w:p>
    <w:p>
      <w:pPr>
        <w:pStyle w:val="Normal"/>
        <w:rPr>
          <w:rFonts w:ascii="Times New Roman" w:hAnsi="Times New Roman" w:cs="Times New Roman"/>
        </w:rPr>
      </w:pPr>
      <w:r>
        <w:rPr>
          <w:rFonts w:cs="Times New Roman"/>
        </w:rPr>
      </w:r>
    </w:p>
    <w:p>
      <w:pPr>
        <w:pStyle w:val="BodyText"/>
        <w:rPr/>
      </w:pPr>
      <w:r>
        <w:rPr/>
        <w:t>Position in wholesale energy origination/management or commodity structuring and risk management.</w:t>
      </w:r>
    </w:p>
    <w:p>
      <w:pPr>
        <w:pStyle w:val="Heading5"/>
        <w:ind w:hanging="0" w:start="0"/>
        <w:rPr>
          <w:rFonts w:ascii="Times New Roman" w:hAnsi="Times New Roman" w:cs="Times New Roman"/>
        </w:rPr>
      </w:pPr>
      <w:r>
        <w:rPr>
          <w:rFonts w:cs="Times New Roman" w:ascii="Times New Roman" w:hAnsi="Times New Roman"/>
        </w:rPr>
      </w:r>
    </w:p>
    <w:p>
      <w:pPr>
        <w:pStyle w:val="Heading5"/>
        <w:ind w:hanging="0" w:start="0"/>
        <w:rPr>
          <w:rFonts w:ascii="Times New Roman" w:hAnsi="Times New Roman" w:cs="Times New Roman"/>
        </w:rPr>
      </w:pPr>
      <w:r>
        <w:rPr>
          <w:rFonts w:cs="Times New Roman" w:ascii="Times New Roman" w:hAnsi="Times New Roman"/>
        </w:rPr>
      </w:r>
    </w:p>
    <w:p>
      <w:pPr>
        <w:pStyle w:val="Heading5"/>
        <w:ind w:hanging="0" w:start="0"/>
        <w:rPr>
          <w:rFonts w:ascii="Times New Roman" w:hAnsi="Times New Roman" w:cs="Times New Roman"/>
        </w:rPr>
      </w:pPr>
      <w:r>
        <w:rPr>
          <w:rFonts w:cs="Times New Roman" w:ascii="Times New Roman" w:hAnsi="Times New Roman"/>
        </w:rPr>
        <w:t>SKILLS &amp; ASSETS</w:t>
      </w:r>
    </w:p>
    <w:p>
      <w:pPr>
        <w:pStyle w:val="Normal"/>
        <w:ind w:end="-118"/>
        <w:rPr>
          <w:rFonts w:ascii="Times New Roman" w:hAnsi="Times New Roman" w:cs="Times New Roman"/>
          <w:sz w:val="22"/>
          <w:lang w:val="en-GB"/>
        </w:rPr>
      </w:pPr>
      <w:r>
        <w:rPr>
          <w:rFonts w:cs="Times New Roman"/>
          <w:sz w:val="22"/>
          <w:lang w:val="en-GB"/>
        </w:rPr>
      </w:r>
    </w:p>
    <w:p>
      <w:pPr>
        <w:pStyle w:val="Normal"/>
        <w:numPr>
          <w:ilvl w:val="0"/>
          <w:numId w:val="4"/>
        </w:numPr>
        <w:ind w:hanging="360" w:start="360" w:end="-118"/>
        <w:rPr>
          <w:b/>
          <w:sz w:val="22"/>
        </w:rPr>
      </w:pPr>
      <w:r>
        <w:rPr>
          <w:sz w:val="22"/>
          <w:lang w:val="en-GB"/>
        </w:rPr>
        <w:t>Well-rounded international experience in finance, strategy, risk management, and engineering in the energy business.</w:t>
      </w:r>
    </w:p>
    <w:p>
      <w:pPr>
        <w:pStyle w:val="Normal"/>
        <w:numPr>
          <w:ilvl w:val="0"/>
          <w:numId w:val="4"/>
        </w:numPr>
        <w:ind w:hanging="360" w:start="360" w:end="-118"/>
        <w:rPr>
          <w:b/>
          <w:sz w:val="22"/>
        </w:rPr>
      </w:pPr>
      <w:r>
        <w:rPr>
          <w:sz w:val="22"/>
          <w:lang w:val="en-GB"/>
        </w:rPr>
        <w:t>Great team player, excellent business judgement and outstanding analytical skills.</w:t>
      </w:r>
    </w:p>
    <w:p>
      <w:pPr>
        <w:pStyle w:val="Normal"/>
        <w:ind w:end="-118"/>
        <w:rPr>
          <w:b/>
          <w:sz w:val="22"/>
        </w:rPr>
      </w:pPr>
      <w:r>
        <w:rPr>
          <w:b/>
          <w:sz w:val="22"/>
        </w:rPr>
      </w:r>
    </w:p>
    <w:p>
      <w:pPr>
        <w:pStyle w:val="Normal"/>
        <w:rPr>
          <w:b/>
          <w:i/>
          <w:i/>
          <w:sz w:val="22"/>
        </w:rPr>
      </w:pPr>
      <w:r>
        <w:rPr>
          <w:b/>
          <w:i/>
          <w:sz w:val="22"/>
        </w:rPr>
      </w:r>
    </w:p>
    <w:p>
      <w:pPr>
        <w:pStyle w:val="Normal"/>
        <w:rPr/>
      </w:pPr>
      <w:r>
        <w:rPr>
          <w:b/>
          <w:i/>
          <w:sz w:val="22"/>
        </w:rPr>
        <w:t>RELEVANT EXPERIENCE</w:t>
      </w:r>
      <w:r>
        <w:rPr>
          <w:i/>
          <w:sz w:val="22"/>
        </w:rPr>
        <w:t xml:space="preserve"> </w:t>
      </w:r>
    </w:p>
    <w:p>
      <w:pPr>
        <w:pStyle w:val="Normal"/>
        <w:rPr>
          <w:i/>
          <w:i/>
          <w:sz w:val="22"/>
        </w:rPr>
      </w:pPr>
      <w:r>
        <w:rPr>
          <w:i/>
          <w:sz w:val="22"/>
        </w:rPr>
      </w:r>
    </w:p>
    <w:tbl>
      <w:tblPr>
        <w:tblW w:w="10404" w:type="dxa"/>
        <w:jc w:val="start"/>
        <w:tblInd w:w="108" w:type="dxa"/>
        <w:tblLayout w:type="fixed"/>
        <w:tblCellMar>
          <w:top w:w="0" w:type="dxa"/>
          <w:start w:w="108" w:type="dxa"/>
          <w:bottom w:w="0" w:type="dxa"/>
          <w:end w:w="108" w:type="dxa"/>
        </w:tblCellMar>
      </w:tblPr>
      <w:tblGrid>
        <w:gridCol w:w="1890"/>
        <w:gridCol w:w="270"/>
        <w:gridCol w:w="2988"/>
        <w:gridCol w:w="5256"/>
      </w:tblGrid>
      <w:tr>
        <w:trPr/>
        <w:tc>
          <w:tcPr>
            <w:tcW w:w="1890" w:type="dxa"/>
            <w:tcBorders/>
          </w:tcPr>
          <w:p>
            <w:pPr>
              <w:pStyle w:val="Normal"/>
              <w:rPr>
                <w:b/>
                <w:sz w:val="22"/>
              </w:rPr>
            </w:pPr>
            <w:r>
              <w:rPr>
                <w:b/>
                <w:sz w:val="22"/>
              </w:rPr>
              <w:t>2/99 - Present</w:t>
            </w:r>
          </w:p>
        </w:tc>
        <w:tc>
          <w:tcPr>
            <w:tcW w:w="3258" w:type="dxa"/>
            <w:gridSpan w:val="2"/>
            <w:tcBorders/>
          </w:tcPr>
          <w:p>
            <w:pPr>
              <w:pStyle w:val="Normal"/>
              <w:rPr>
                <w:b/>
              </w:rPr>
            </w:pPr>
            <w:r>
              <w:rPr>
                <w:b/>
                <w:sz w:val="22"/>
              </w:rPr>
              <w:t>Enron Corp.</w:t>
            </w:r>
          </w:p>
        </w:tc>
        <w:tc>
          <w:tcPr>
            <w:tcW w:w="5256" w:type="dxa"/>
            <w:tcBorders/>
          </w:tcPr>
          <w:p>
            <w:pPr>
              <w:pStyle w:val="Heading4"/>
              <w:snapToGrid w:val="false"/>
              <w:ind w:hanging="0" w:start="0"/>
              <w:rPr>
                <w:rFonts w:ascii="Times New Roman" w:hAnsi="Times New Roman" w:cs="Times New Roman"/>
                <w:b/>
              </w:rPr>
            </w:pPr>
            <w:r>
              <w:rPr>
                <w:rFonts w:cs="Times New Roman" w:ascii="Times New Roman" w:hAnsi="Times New Roman"/>
                <w:b/>
              </w:rPr>
            </w:r>
          </w:p>
        </w:tc>
      </w:tr>
      <w:tr>
        <w:trPr/>
        <w:tc>
          <w:tcPr>
            <w:tcW w:w="2160" w:type="dxa"/>
            <w:gridSpan w:val="2"/>
            <w:tcBorders/>
          </w:tcPr>
          <w:p>
            <w:pPr>
              <w:pStyle w:val="Normal"/>
              <w:snapToGrid w:val="false"/>
              <w:rPr>
                <w:rFonts w:ascii="Times New Roman" w:hAnsi="Times New Roman" w:cs="Times New Roman"/>
                <w:sz w:val="22"/>
              </w:rPr>
            </w:pPr>
            <w:r>
              <w:rPr>
                <w:rFonts w:cs="Times New Roman"/>
                <w:sz w:val="22"/>
              </w:rPr>
            </w:r>
          </w:p>
          <w:p>
            <w:pPr>
              <w:pStyle w:val="Normal"/>
              <w:rPr>
                <w:sz w:val="22"/>
              </w:rPr>
            </w:pPr>
            <w:r>
              <w:rPr>
                <w:sz w:val="22"/>
              </w:rPr>
              <w:t>01-00 to present</w:t>
            </w:r>
          </w:p>
        </w:tc>
        <w:tc>
          <w:tcPr>
            <w:tcW w:w="2988" w:type="dxa"/>
            <w:tcBorders/>
          </w:tcPr>
          <w:p>
            <w:pPr>
              <w:pStyle w:val="Heading6"/>
              <w:snapToGrid w:val="false"/>
              <w:ind w:hanging="0" w:start="0"/>
              <w:rPr>
                <w:rFonts w:ascii="Times New Roman" w:hAnsi="Times New Roman" w:cs="Times New Roman"/>
                <w:sz w:val="22"/>
              </w:rPr>
            </w:pPr>
            <w:r>
              <w:rPr>
                <w:rFonts w:cs="Times New Roman" w:ascii="Times New Roman" w:hAnsi="Times New Roman"/>
                <w:sz w:val="22"/>
              </w:rPr>
            </w:r>
          </w:p>
          <w:p>
            <w:pPr>
              <w:pStyle w:val="Heading6"/>
              <w:ind w:hanging="0" w:start="0"/>
              <w:rPr>
                <w:rFonts w:ascii="Times New Roman" w:hAnsi="Times New Roman" w:cs="Times New Roman"/>
              </w:rPr>
            </w:pPr>
            <w:r>
              <w:rPr>
                <w:rFonts w:cs="Times New Roman" w:ascii="Times New Roman" w:hAnsi="Times New Roman"/>
              </w:rPr>
              <w:t>Enron Global Assets</w:t>
            </w:r>
          </w:p>
        </w:tc>
        <w:tc>
          <w:tcPr>
            <w:tcW w:w="5256" w:type="dxa"/>
            <w:tcBorders/>
          </w:tcPr>
          <w:p>
            <w:pPr>
              <w:pStyle w:val="Heading4"/>
              <w:ind w:hanging="0" w:start="0"/>
              <w:rPr>
                <w:rFonts w:ascii="Times New Roman" w:hAnsi="Times New Roman" w:cs="Times New Roman"/>
                <w:b w:val="false"/>
              </w:rPr>
            </w:pPr>
            <w:r>
              <w:rPr>
                <w:rFonts w:cs="Times New Roman" w:ascii="Times New Roman" w:hAnsi="Times New Roman"/>
                <w:b w:val="false"/>
              </w:rPr>
              <w:t xml:space="preserve">Cuiabá, Brazil </w:t>
            </w:r>
          </w:p>
          <w:p>
            <w:pPr>
              <w:pStyle w:val="Heading4"/>
              <w:ind w:hanging="0" w:start="0"/>
              <w:rPr>
                <w:rFonts w:ascii="Times New Roman" w:hAnsi="Times New Roman" w:cs="Times New Roman"/>
                <w:b w:val="false"/>
              </w:rPr>
            </w:pPr>
            <w:r>
              <w:rPr>
                <w:rFonts w:cs="Times New Roman" w:ascii="Times New Roman" w:hAnsi="Times New Roman"/>
                <w:b w:val="false"/>
              </w:rPr>
              <w:t>Santa Cruz, Bolivia</w:t>
            </w:r>
          </w:p>
        </w:tc>
      </w:tr>
    </w:tbl>
    <w:p>
      <w:pPr>
        <w:pStyle w:val="BodyText2"/>
        <w:ind w:firstLine="720" w:end="0"/>
        <w:rPr>
          <w:rFonts w:ascii="Times New Roman" w:hAnsi="Times New Roman" w:cs="Times New Roman"/>
        </w:rPr>
      </w:pPr>
      <w:r>
        <w:rPr>
          <w:rFonts w:cs="Times New Roman" w:ascii="Times New Roman" w:hAnsi="Times New Roman"/>
        </w:rPr>
      </w:r>
    </w:p>
    <w:p>
      <w:pPr>
        <w:pStyle w:val="BodyText2"/>
        <w:ind w:firstLine="720" w:end="0"/>
        <w:rPr>
          <w:rFonts w:ascii="Times New Roman" w:hAnsi="Times New Roman" w:cs="Times New Roman"/>
        </w:rPr>
      </w:pPr>
      <w:r>
        <w:rPr>
          <w:rFonts w:cs="Times New Roman" w:ascii="Times New Roman" w:hAnsi="Times New Roman"/>
        </w:rPr>
        <w:t>Cuiabá Integrated Project (480 MW combined cycle power plant &amp; 642 km natural gas pipeline)</w:t>
      </w:r>
    </w:p>
    <w:p>
      <w:pPr>
        <w:pStyle w:val="Normal"/>
        <w:numPr>
          <w:ilvl w:val="0"/>
          <w:numId w:val="3"/>
        </w:numPr>
        <w:tabs>
          <w:tab w:val="clear" w:pos="720"/>
          <w:tab w:val="left" w:pos="1080" w:leader="none"/>
        </w:tabs>
        <w:ind w:hanging="360" w:start="1080" w:end="0"/>
        <w:jc w:val="both"/>
        <w:rPr>
          <w:sz w:val="22"/>
        </w:rPr>
      </w:pPr>
      <w:r>
        <w:rPr>
          <w:sz w:val="22"/>
        </w:rPr>
        <w:t>Project management of gas pipeline and combined cycle power plant construction and operations. Responsible for among others project scheduling &amp; planning, business reporting, and contract (claims) negotiation. Enron investment in project over US$400 million.</w:t>
      </w:r>
    </w:p>
    <w:p>
      <w:pPr>
        <w:pStyle w:val="Normal"/>
        <w:numPr>
          <w:ilvl w:val="0"/>
          <w:numId w:val="3"/>
        </w:numPr>
        <w:tabs>
          <w:tab w:val="clear" w:pos="720"/>
          <w:tab w:val="left" w:pos="1080" w:leader="none"/>
        </w:tabs>
        <w:ind w:hanging="360" w:start="1080" w:end="0"/>
        <w:jc w:val="both"/>
        <w:rPr>
          <w:sz w:val="22"/>
        </w:rPr>
      </w:pPr>
      <w:r>
        <w:rPr>
          <w:sz w:val="22"/>
        </w:rPr>
        <w:t>Determining project strategies mitigating delay in pipeline construction and subsequent impacts on electricity cost and supply. Restructuring of gas supply and transportation agreements and equity management of project. Performed regulatory and economic analyses regarding deregulation of Brazil’s electricity market, and consequent risks and exposures to project.</w:t>
      </w:r>
    </w:p>
    <w:p>
      <w:pPr>
        <w:pStyle w:val="Normal"/>
        <w:numPr>
          <w:ilvl w:val="0"/>
          <w:numId w:val="3"/>
        </w:numPr>
        <w:tabs>
          <w:tab w:val="clear" w:pos="720"/>
          <w:tab w:val="left" w:pos="1080" w:leader="none"/>
        </w:tabs>
        <w:ind w:hanging="360" w:start="1080" w:end="0"/>
        <w:jc w:val="both"/>
        <w:rPr>
          <w:sz w:val="22"/>
        </w:rPr>
      </w:pPr>
      <w:r>
        <w:rPr>
          <w:sz w:val="22"/>
        </w:rPr>
        <w:t>Critical in determining strategy and in negotiations to obtain extended diesel fuel subsidies for power plant with estimated value of US$132 MM. This excludes avoided plant preservation costs of about US$2 MM. Resulting increase in revenues thanks to increased power output estimated at US$4 MM.</w:t>
      </w:r>
    </w:p>
    <w:p>
      <w:pPr>
        <w:pStyle w:val="Normal"/>
        <w:numPr>
          <w:ilvl w:val="0"/>
          <w:numId w:val="3"/>
        </w:numPr>
        <w:tabs>
          <w:tab w:val="clear" w:pos="720"/>
          <w:tab w:val="left" w:pos="1080" w:leader="none"/>
        </w:tabs>
        <w:ind w:hanging="360" w:start="1080" w:end="0"/>
        <w:jc w:val="both"/>
        <w:rPr>
          <w:sz w:val="22"/>
        </w:rPr>
      </w:pPr>
      <w:r>
        <w:rPr>
          <w:sz w:val="22"/>
        </w:rPr>
        <w:t>Negotiated and implementing energy tariffs and economic equilibrium adjustments to tariffs with client. Provided analyses on and assisted in negotiations and legal analysis on change orders vis-a-vis EPC turnkey contractor and subcontractors. Cost savings in the order of US$1.9 MM realized.</w:t>
      </w:r>
    </w:p>
    <w:p>
      <w:pPr>
        <w:pStyle w:val="Normal"/>
        <w:numPr>
          <w:ilvl w:val="0"/>
          <w:numId w:val="3"/>
        </w:numPr>
        <w:tabs>
          <w:tab w:val="clear" w:pos="720"/>
          <w:tab w:val="left" w:pos="1080" w:leader="none"/>
        </w:tabs>
        <w:ind w:hanging="360" w:start="1080" w:end="0"/>
        <w:jc w:val="both"/>
        <w:rPr>
          <w:sz w:val="22"/>
        </w:rPr>
      </w:pPr>
      <w:r>
        <w:rPr>
          <w:sz w:val="22"/>
        </w:rPr>
        <w:t>Responsible for model inputs (to both Shell &amp; Enron), financial analyses on PPA, marginal cost and dispatch/fuel exposure, tariffs, nomination/scheduling of gas, etc.</w:t>
      </w:r>
    </w:p>
    <w:p>
      <w:pPr>
        <w:pStyle w:val="Normal"/>
        <w:ind w:start="720" w:end="0"/>
        <w:jc w:val="both"/>
        <w:rPr>
          <w:sz w:val="22"/>
        </w:rPr>
      </w:pPr>
      <w:r>
        <w:rPr>
          <w:sz w:val="22"/>
        </w:rPr>
      </w:r>
    </w:p>
    <w:p>
      <w:pPr>
        <w:pStyle w:val="Normal"/>
        <w:ind w:start="720" w:end="0"/>
        <w:jc w:val="both"/>
        <w:rPr>
          <w:sz w:val="22"/>
        </w:rPr>
      </w:pPr>
      <w:r>
        <w:rPr>
          <w:sz w:val="22"/>
        </w:rPr>
      </w:r>
    </w:p>
    <w:tbl>
      <w:tblPr>
        <w:tblW w:w="10404" w:type="dxa"/>
        <w:jc w:val="start"/>
        <w:tblInd w:w="108" w:type="dxa"/>
        <w:tblLayout w:type="fixed"/>
        <w:tblCellMar>
          <w:top w:w="0" w:type="dxa"/>
          <w:start w:w="108" w:type="dxa"/>
          <w:bottom w:w="0" w:type="dxa"/>
          <w:end w:w="108" w:type="dxa"/>
        </w:tblCellMar>
      </w:tblPr>
      <w:tblGrid>
        <w:gridCol w:w="1800"/>
        <w:gridCol w:w="5220"/>
        <w:gridCol w:w="3384"/>
      </w:tblGrid>
      <w:tr>
        <w:trPr>
          <w:trHeight w:val="387" w:hRule="atLeast"/>
        </w:trPr>
        <w:tc>
          <w:tcPr>
            <w:tcW w:w="1800" w:type="dxa"/>
            <w:tcBorders/>
          </w:tcPr>
          <w:p>
            <w:pPr>
              <w:pStyle w:val="Normal"/>
              <w:jc w:val="both"/>
              <w:rPr>
                <w:sz w:val="22"/>
              </w:rPr>
            </w:pPr>
            <w:r>
              <w:rPr>
                <w:sz w:val="22"/>
              </w:rPr>
              <w:t>02-99 to 01-00</w:t>
            </w:r>
          </w:p>
        </w:tc>
        <w:tc>
          <w:tcPr>
            <w:tcW w:w="5220" w:type="dxa"/>
            <w:tcBorders/>
          </w:tcPr>
          <w:p>
            <w:pPr>
              <w:pStyle w:val="Normal"/>
              <w:jc w:val="both"/>
              <w:rPr>
                <w:b/>
                <w:sz w:val="22"/>
              </w:rPr>
            </w:pPr>
            <w:r>
              <w:rPr>
                <w:b/>
                <w:sz w:val="22"/>
              </w:rPr>
              <w:t>Enron North America – Industrial Markets</w:t>
            </w:r>
          </w:p>
        </w:tc>
        <w:tc>
          <w:tcPr>
            <w:tcW w:w="3384" w:type="dxa"/>
            <w:tcBorders/>
          </w:tcPr>
          <w:p>
            <w:pPr>
              <w:pStyle w:val="Normal"/>
              <w:jc w:val="end"/>
              <w:rPr>
                <w:sz w:val="22"/>
              </w:rPr>
            </w:pPr>
            <w:r>
              <w:rPr>
                <w:sz w:val="22"/>
              </w:rPr>
              <w:t>Houston, TX, USA</w:t>
            </w:r>
          </w:p>
        </w:tc>
      </w:tr>
    </w:tbl>
    <w:p>
      <w:pPr>
        <w:pStyle w:val="Normal"/>
        <w:ind w:firstLine="720" w:end="0"/>
        <w:jc w:val="both"/>
        <w:rPr>
          <w:sz w:val="22"/>
        </w:rPr>
      </w:pPr>
      <w:r>
        <w:rPr>
          <w:sz w:val="22"/>
        </w:rPr>
        <w:t>Business Analyst – Structured Finance</w:t>
      </w:r>
    </w:p>
    <w:p>
      <w:pPr>
        <w:pStyle w:val="Normal"/>
        <w:numPr>
          <w:ilvl w:val="0"/>
          <w:numId w:val="6"/>
        </w:numPr>
        <w:tabs>
          <w:tab w:val="clear" w:pos="720"/>
          <w:tab w:val="left" w:pos="1080" w:leader="none"/>
        </w:tabs>
        <w:ind w:hanging="360" w:start="1080" w:end="0"/>
        <w:jc w:val="both"/>
        <w:rPr>
          <w:sz w:val="22"/>
        </w:rPr>
      </w:pPr>
      <w:r>
        <w:rPr>
          <w:sz w:val="22"/>
        </w:rPr>
        <w:t xml:space="preserve">Financial analysis, modeling and (re)-structuring of various investments in </w:t>
      </w:r>
      <w:r>
        <w:rPr>
          <w:color w:val="000000"/>
          <w:sz w:val="22"/>
        </w:rPr>
        <w:t>(energy) projects in petrochemical, steel, and pulp/paper operations. Deals involved commodity risk management, energy supply and finance structuring. Included distressed assets.</w:t>
      </w:r>
    </w:p>
    <w:p>
      <w:pPr>
        <w:pStyle w:val="Normal"/>
        <w:numPr>
          <w:ilvl w:val="0"/>
          <w:numId w:val="6"/>
        </w:numPr>
        <w:tabs>
          <w:tab w:val="clear" w:pos="720"/>
          <w:tab w:val="left" w:pos="1080" w:leader="none"/>
        </w:tabs>
        <w:ind w:hanging="360" w:start="1080" w:end="0"/>
        <w:jc w:val="both"/>
        <w:rPr>
          <w:sz w:val="22"/>
        </w:rPr>
      </w:pPr>
      <w:r>
        <w:rPr>
          <w:color w:val="000000"/>
          <w:sz w:val="22"/>
        </w:rPr>
        <w:t>Assisted in management of 6 projects with total Enron investment value of over US$100 MM.</w:t>
      </w:r>
    </w:p>
    <w:p>
      <w:pPr>
        <w:pStyle w:val="Normal"/>
        <w:numPr>
          <w:ilvl w:val="0"/>
          <w:numId w:val="6"/>
        </w:numPr>
        <w:tabs>
          <w:tab w:val="clear" w:pos="720"/>
          <w:tab w:val="left" w:pos="1080" w:leader="none"/>
        </w:tabs>
        <w:ind w:hanging="360" w:start="1080" w:end="0"/>
        <w:jc w:val="both"/>
        <w:rPr>
          <w:sz w:val="22"/>
        </w:rPr>
      </w:pPr>
      <w:r>
        <w:rPr>
          <w:color w:val="000000"/>
          <w:sz w:val="22"/>
        </w:rPr>
        <w:t>Communicated extensively with capital funds &amp; clients on potential investments and prepared various pitch books and transaction documents (LOI’s, term sheets).</w:t>
      </w:r>
    </w:p>
    <w:p>
      <w:pPr>
        <w:pStyle w:val="Normal"/>
        <w:numPr>
          <w:ilvl w:val="0"/>
          <w:numId w:val="6"/>
        </w:numPr>
        <w:tabs>
          <w:tab w:val="clear" w:pos="720"/>
          <w:tab w:val="left" w:pos="1080" w:leader="none"/>
        </w:tabs>
        <w:ind w:hanging="360" w:start="1080" w:end="0"/>
        <w:jc w:val="both"/>
        <w:rPr>
          <w:sz w:val="22"/>
        </w:rPr>
      </w:pPr>
      <w:r>
        <w:rPr>
          <w:color w:val="000000"/>
          <w:sz w:val="22"/>
        </w:rPr>
        <w:t>Developed new and improved existing complex financial models, and developed business structures.</w:t>
      </w:r>
    </w:p>
    <w:p>
      <w:pPr>
        <w:pStyle w:val="Normal"/>
        <w:numPr>
          <w:ilvl w:val="0"/>
          <w:numId w:val="6"/>
        </w:numPr>
        <w:tabs>
          <w:tab w:val="clear" w:pos="720"/>
          <w:tab w:val="left" w:pos="1080" w:leader="none"/>
        </w:tabs>
        <w:ind w:hanging="360" w:start="1080" w:end="0"/>
        <w:jc w:val="both"/>
        <w:rPr>
          <w:sz w:val="22"/>
        </w:rPr>
      </w:pPr>
      <w:r>
        <w:rPr>
          <w:color w:val="000000"/>
          <w:sz w:val="22"/>
        </w:rPr>
        <w:t>Performed industry, company and equity research.</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tbl>
      <w:tblPr>
        <w:tblW w:w="10404" w:type="dxa"/>
        <w:jc w:val="start"/>
        <w:tblInd w:w="108" w:type="dxa"/>
        <w:tblLayout w:type="fixed"/>
        <w:tblCellMar>
          <w:top w:w="0" w:type="dxa"/>
          <w:start w:w="108" w:type="dxa"/>
          <w:bottom w:w="0" w:type="dxa"/>
          <w:end w:w="108" w:type="dxa"/>
        </w:tblCellMar>
      </w:tblPr>
      <w:tblGrid>
        <w:gridCol w:w="1350"/>
        <w:gridCol w:w="5130"/>
        <w:gridCol w:w="3924"/>
      </w:tblGrid>
      <w:tr>
        <w:trPr/>
        <w:tc>
          <w:tcPr>
            <w:tcW w:w="1350" w:type="dxa"/>
            <w:tcBorders/>
          </w:tcPr>
          <w:p>
            <w:pPr>
              <w:pStyle w:val="Normal"/>
              <w:rPr>
                <w:sz w:val="22"/>
              </w:rPr>
            </w:pPr>
            <w:r>
              <w:rPr>
                <w:sz w:val="22"/>
              </w:rPr>
              <w:t>4/97-6/97</w:t>
            </w:r>
          </w:p>
        </w:tc>
        <w:tc>
          <w:tcPr>
            <w:tcW w:w="5130" w:type="dxa"/>
            <w:tcBorders/>
          </w:tcPr>
          <w:p>
            <w:pPr>
              <w:pStyle w:val="Normal"/>
              <w:rPr>
                <w:b/>
              </w:rPr>
            </w:pPr>
            <w:r>
              <w:rPr>
                <w:b/>
                <w:sz w:val="22"/>
              </w:rPr>
              <w:t>Twijnstra Gudde Management Consultants</w:t>
            </w:r>
          </w:p>
        </w:tc>
        <w:tc>
          <w:tcPr>
            <w:tcW w:w="3924" w:type="dxa"/>
            <w:tcBorders/>
          </w:tcPr>
          <w:p>
            <w:pPr>
              <w:pStyle w:val="Heading4"/>
              <w:ind w:hanging="0" w:start="0"/>
              <w:rPr>
                <w:rFonts w:ascii="Times New Roman" w:hAnsi="Times New Roman" w:cs="Times New Roman"/>
                <w:b w:val="false"/>
              </w:rPr>
            </w:pPr>
            <w:r>
              <w:rPr>
                <w:rFonts w:cs="Times New Roman" w:ascii="Times New Roman" w:hAnsi="Times New Roman"/>
                <w:b w:val="false"/>
              </w:rPr>
              <w:t>Den Haag, the Netherlands</w:t>
            </w:r>
          </w:p>
        </w:tc>
      </w:tr>
    </w:tbl>
    <w:p>
      <w:pPr>
        <w:pStyle w:val="Normal"/>
        <w:jc w:val="both"/>
        <w:rPr>
          <w:sz w:val="22"/>
        </w:rPr>
      </w:pPr>
      <w:r>
        <w:rPr>
          <w:sz w:val="22"/>
        </w:rPr>
      </w:r>
    </w:p>
    <w:p>
      <w:pPr>
        <w:pStyle w:val="Normal"/>
        <w:jc w:val="both"/>
        <w:rPr>
          <w:sz w:val="22"/>
        </w:rPr>
      </w:pPr>
      <w:r>
        <w:rPr>
          <w:sz w:val="22"/>
        </w:rPr>
        <w:t>Analyzed and presented potential overhead cost savings at corporate head office of Shell International Petroleum Maatschappij N.V.</w:t>
      </w:r>
    </w:p>
    <w:p>
      <w:pPr>
        <w:pStyle w:val="Normal"/>
        <w:jc w:val="both"/>
        <w:rPr>
          <w:sz w:val="22"/>
        </w:rPr>
      </w:pPr>
      <w:r>
        <w:rPr>
          <w:sz w:val="22"/>
        </w:rPr>
        <w:t xml:space="preserve">  </w:t>
      </w:r>
    </w:p>
    <w:p>
      <w:pPr>
        <w:pStyle w:val="Normal"/>
        <w:jc w:val="both"/>
        <w:rPr>
          <w:sz w:val="22"/>
        </w:rPr>
      </w:pPr>
      <w:r>
        <w:rPr>
          <w:sz w:val="22"/>
        </w:rPr>
      </w:r>
    </w:p>
    <w:tbl>
      <w:tblPr>
        <w:tblW w:w="10404" w:type="dxa"/>
        <w:jc w:val="start"/>
        <w:tblInd w:w="108" w:type="dxa"/>
        <w:tblLayout w:type="fixed"/>
        <w:tblCellMar>
          <w:top w:w="0" w:type="dxa"/>
          <w:start w:w="108" w:type="dxa"/>
          <w:bottom w:w="0" w:type="dxa"/>
          <w:end w:w="108" w:type="dxa"/>
        </w:tblCellMar>
      </w:tblPr>
      <w:tblGrid>
        <w:gridCol w:w="1350"/>
        <w:gridCol w:w="5130"/>
        <w:gridCol w:w="3924"/>
      </w:tblGrid>
      <w:tr>
        <w:trPr/>
        <w:tc>
          <w:tcPr>
            <w:tcW w:w="1350" w:type="dxa"/>
            <w:tcBorders/>
          </w:tcPr>
          <w:p>
            <w:pPr>
              <w:pStyle w:val="Normal"/>
              <w:rPr>
                <w:sz w:val="22"/>
              </w:rPr>
            </w:pPr>
            <w:r>
              <w:rPr>
                <w:sz w:val="22"/>
              </w:rPr>
              <w:t>10/95-5/96</w:t>
            </w:r>
          </w:p>
        </w:tc>
        <w:tc>
          <w:tcPr>
            <w:tcW w:w="5130" w:type="dxa"/>
            <w:tcBorders/>
          </w:tcPr>
          <w:p>
            <w:pPr>
              <w:pStyle w:val="Normal"/>
              <w:rPr>
                <w:b/>
              </w:rPr>
            </w:pPr>
            <w:r>
              <w:rPr>
                <w:b/>
                <w:sz w:val="22"/>
              </w:rPr>
              <w:t>IPT / Alcoa Aluminio S.A.</w:t>
            </w:r>
          </w:p>
        </w:tc>
        <w:tc>
          <w:tcPr>
            <w:tcW w:w="3924" w:type="dxa"/>
            <w:tcBorders/>
          </w:tcPr>
          <w:p>
            <w:pPr>
              <w:pStyle w:val="Heading4"/>
              <w:ind w:hanging="0" w:start="0"/>
              <w:rPr>
                <w:rFonts w:ascii="Times New Roman" w:hAnsi="Times New Roman" w:cs="Times New Roman"/>
                <w:b w:val="false"/>
              </w:rPr>
            </w:pPr>
            <w:r>
              <w:rPr>
                <w:rFonts w:cs="Times New Roman" w:ascii="Times New Roman" w:hAnsi="Times New Roman"/>
                <w:b w:val="false"/>
              </w:rPr>
              <w:t>São Paulo, SP, Brazil</w:t>
            </w:r>
          </w:p>
          <w:p>
            <w:pPr>
              <w:pStyle w:val="Normal"/>
              <w:jc w:val="end"/>
              <w:rPr>
                <w:sz w:val="22"/>
              </w:rPr>
            </w:pPr>
            <w:r>
              <w:rPr>
                <w:sz w:val="22"/>
              </w:rPr>
              <w:t>Poços de Caldas, MG, Brazil</w:t>
            </w:r>
          </w:p>
        </w:tc>
      </w:tr>
    </w:tbl>
    <w:p>
      <w:pPr>
        <w:pStyle w:val="Normal"/>
        <w:jc w:val="both"/>
        <w:rPr>
          <w:sz w:val="22"/>
        </w:rPr>
      </w:pPr>
      <w:r>
        <w:rPr>
          <w:sz w:val="22"/>
        </w:rPr>
      </w:r>
    </w:p>
    <w:p>
      <w:pPr>
        <w:pStyle w:val="BodyText2"/>
        <w:rPr>
          <w:rFonts w:ascii="Times New Roman" w:hAnsi="Times New Roman" w:cs="Times New Roman"/>
        </w:rPr>
      </w:pPr>
      <w:r>
        <w:rPr>
          <w:rFonts w:cs="Times New Roman" w:ascii="Times New Roman" w:hAnsi="Times New Roman"/>
        </w:rPr>
        <w:t>Research on crystallization/agglomeration process of alumina refining (Bayer Process) with development of dynamic simulation models for design and energy efficiency improvement of crystallization reactors. Use of Computational Fluid Dynamics to model fluid and solids flows inside chemical reactors.</w:t>
      </w:r>
    </w:p>
    <w:p>
      <w:pPr>
        <w:pStyle w:val="Normal"/>
        <w:ind w:hanging="1440" w:start="1440" w:end="0"/>
        <w:jc w:val="both"/>
        <w:rPr>
          <w:rFonts w:ascii="Times New Roman" w:hAnsi="Times New Roman" w:cs="Times New Roman"/>
          <w:sz w:val="22"/>
        </w:rPr>
      </w:pPr>
      <w:r>
        <w:rPr>
          <w:rFonts w:cs="Times New Roman"/>
          <w:sz w:val="22"/>
        </w:rPr>
      </w:r>
    </w:p>
    <w:p>
      <w:pPr>
        <w:pStyle w:val="Normal"/>
        <w:ind w:hanging="1440" w:start="1440" w:end="0"/>
        <w:jc w:val="both"/>
        <w:rPr>
          <w:sz w:val="22"/>
        </w:rPr>
      </w:pPr>
      <w:r>
        <w:rPr>
          <w:sz w:val="22"/>
        </w:rPr>
      </w:r>
    </w:p>
    <w:tbl>
      <w:tblPr>
        <w:tblW w:w="10404" w:type="dxa"/>
        <w:jc w:val="start"/>
        <w:tblInd w:w="108" w:type="dxa"/>
        <w:tblLayout w:type="fixed"/>
        <w:tblCellMar>
          <w:top w:w="0" w:type="dxa"/>
          <w:start w:w="108" w:type="dxa"/>
          <w:bottom w:w="0" w:type="dxa"/>
          <w:end w:w="108" w:type="dxa"/>
        </w:tblCellMar>
      </w:tblPr>
      <w:tblGrid>
        <w:gridCol w:w="1350"/>
        <w:gridCol w:w="5130"/>
        <w:gridCol w:w="3924"/>
      </w:tblGrid>
      <w:tr>
        <w:trPr/>
        <w:tc>
          <w:tcPr>
            <w:tcW w:w="1350" w:type="dxa"/>
            <w:tcBorders/>
          </w:tcPr>
          <w:p>
            <w:pPr>
              <w:pStyle w:val="Normal"/>
              <w:rPr>
                <w:sz w:val="22"/>
              </w:rPr>
            </w:pPr>
            <w:r>
              <w:rPr>
                <w:sz w:val="22"/>
              </w:rPr>
              <w:t>2/95-6/95</w:t>
            </w:r>
          </w:p>
        </w:tc>
        <w:tc>
          <w:tcPr>
            <w:tcW w:w="5130" w:type="dxa"/>
            <w:tcBorders/>
          </w:tcPr>
          <w:p>
            <w:pPr>
              <w:pStyle w:val="Normal"/>
              <w:rPr>
                <w:b/>
              </w:rPr>
            </w:pPr>
            <w:r>
              <w:rPr>
                <w:b/>
                <w:sz w:val="22"/>
              </w:rPr>
              <w:t>DSM Chemicals N.V.</w:t>
            </w:r>
          </w:p>
        </w:tc>
        <w:tc>
          <w:tcPr>
            <w:tcW w:w="3924" w:type="dxa"/>
            <w:tcBorders/>
          </w:tcPr>
          <w:p>
            <w:pPr>
              <w:pStyle w:val="Normal"/>
              <w:jc w:val="end"/>
              <w:rPr>
                <w:sz w:val="22"/>
              </w:rPr>
            </w:pPr>
            <w:r>
              <w:rPr>
                <w:sz w:val="22"/>
              </w:rPr>
              <w:t>The Netherlands</w:t>
            </w:r>
          </w:p>
        </w:tc>
      </w:tr>
    </w:tbl>
    <w:p>
      <w:pPr>
        <w:pStyle w:val="Normal"/>
        <w:ind w:hanging="1440" w:start="1440" w:end="0"/>
        <w:jc w:val="both"/>
        <w:rPr>
          <w:sz w:val="22"/>
        </w:rPr>
      </w:pPr>
      <w:r>
        <w:rPr>
          <w:sz w:val="22"/>
        </w:rPr>
      </w:r>
    </w:p>
    <w:p>
      <w:pPr>
        <w:pStyle w:val="BodyText"/>
        <w:rPr/>
      </w:pPr>
      <w:r>
        <w:rPr/>
        <w:t xml:space="preserve">Integrated chemical process design with feasibility study. Design of a hydrogenation plant utilized for among others plastics manufacturing. Included hazard, environmental and economic analysis. </w:t>
      </w:r>
    </w:p>
    <w:p>
      <w:pPr>
        <w:pStyle w:val="Normal"/>
        <w:rPr>
          <w:sz w:val="22"/>
        </w:rPr>
      </w:pPr>
      <w:r>
        <w:rPr>
          <w:sz w:val="22"/>
        </w:rPr>
      </w:r>
    </w:p>
    <w:p>
      <w:pPr>
        <w:pStyle w:val="Normal"/>
        <w:rPr>
          <w:sz w:val="22"/>
        </w:rPr>
      </w:pPr>
      <w:r>
        <w:rPr>
          <w:sz w:val="22"/>
        </w:rPr>
      </w:r>
    </w:p>
    <w:p>
      <w:pPr>
        <w:pStyle w:val="Normal"/>
        <w:rPr/>
      </w:pPr>
      <w:r>
        <w:rPr>
          <w:b/>
          <w:i/>
          <w:sz w:val="22"/>
        </w:rPr>
        <w:t>ACADEMIC EDUCATION</w:t>
      </w:r>
      <w:r>
        <w:rPr>
          <w:i/>
          <w:sz w:val="22"/>
        </w:rPr>
        <w:t xml:space="preserve"> </w:t>
      </w:r>
    </w:p>
    <w:p>
      <w:pPr>
        <w:pStyle w:val="Normal"/>
        <w:rPr>
          <w:i/>
          <w:i/>
          <w:sz w:val="22"/>
        </w:rPr>
      </w:pPr>
      <w:r>
        <w:rPr>
          <w:i/>
          <w:sz w:val="22"/>
        </w:rPr>
      </w:r>
    </w:p>
    <w:tbl>
      <w:tblPr>
        <w:tblW w:w="10404" w:type="dxa"/>
        <w:jc w:val="start"/>
        <w:tblInd w:w="108" w:type="dxa"/>
        <w:tblLayout w:type="fixed"/>
        <w:tblCellMar>
          <w:top w:w="0" w:type="dxa"/>
          <w:start w:w="108" w:type="dxa"/>
          <w:bottom w:w="0" w:type="dxa"/>
          <w:end w:w="108" w:type="dxa"/>
        </w:tblCellMar>
      </w:tblPr>
      <w:tblGrid>
        <w:gridCol w:w="1350"/>
        <w:gridCol w:w="7020"/>
        <w:gridCol w:w="2034"/>
      </w:tblGrid>
      <w:tr>
        <w:trPr/>
        <w:tc>
          <w:tcPr>
            <w:tcW w:w="1350" w:type="dxa"/>
            <w:tcBorders/>
          </w:tcPr>
          <w:p>
            <w:pPr>
              <w:pStyle w:val="Normal"/>
              <w:rPr>
                <w:sz w:val="22"/>
              </w:rPr>
            </w:pPr>
            <w:r>
              <w:rPr>
                <w:sz w:val="22"/>
              </w:rPr>
              <w:t>7/97-12/98</w:t>
            </w:r>
          </w:p>
        </w:tc>
        <w:tc>
          <w:tcPr>
            <w:tcW w:w="7020" w:type="dxa"/>
            <w:tcBorders/>
          </w:tcPr>
          <w:p>
            <w:pPr>
              <w:pStyle w:val="Normal"/>
              <w:rPr>
                <w:b/>
              </w:rPr>
            </w:pPr>
            <w:r>
              <w:rPr>
                <w:b/>
                <w:sz w:val="22"/>
              </w:rPr>
              <w:t xml:space="preserve">M.S. in Petroleum Economics and Management </w:t>
            </w:r>
          </w:p>
        </w:tc>
        <w:tc>
          <w:tcPr>
            <w:tcW w:w="2034" w:type="dxa"/>
            <w:tcBorders/>
          </w:tcPr>
          <w:p>
            <w:pPr>
              <w:pStyle w:val="Normal"/>
              <w:jc w:val="end"/>
              <w:rPr>
                <w:sz w:val="22"/>
              </w:rPr>
            </w:pPr>
            <w:r>
              <w:rPr>
                <w:sz w:val="22"/>
              </w:rPr>
              <w:t>Paris, France</w:t>
            </w:r>
          </w:p>
          <w:p>
            <w:pPr>
              <w:pStyle w:val="Normal"/>
              <w:jc w:val="end"/>
              <w:rPr>
                <w:sz w:val="22"/>
              </w:rPr>
            </w:pPr>
            <w:r>
              <w:rPr>
                <w:sz w:val="22"/>
              </w:rPr>
              <w:t>Golden, CO, USA</w:t>
            </w:r>
          </w:p>
        </w:tc>
      </w:tr>
    </w:tbl>
    <w:p>
      <w:pPr>
        <w:pStyle w:val="Normal"/>
        <w:rPr/>
      </w:pPr>
      <w:r>
        <w:rPr>
          <w:sz w:val="22"/>
        </w:rPr>
        <w:t>International Program in Petroleum Economics and Management (equivalent to MBA)</w:t>
      </w:r>
      <w:r>
        <w:rPr>
          <w:b/>
          <w:sz w:val="22"/>
        </w:rPr>
        <w:t xml:space="preserve"> </w:t>
      </w:r>
      <w:r>
        <w:rPr>
          <w:sz w:val="22"/>
        </w:rPr>
        <w:t>at ENSPM - Institut Français du Pétrole (IFP), and Colorado School of Mines.</w:t>
      </w:r>
    </w:p>
    <w:p>
      <w:pPr>
        <w:pStyle w:val="Normal"/>
        <w:rPr/>
      </w:pPr>
      <w:r>
        <w:rPr>
          <w:sz w:val="22"/>
        </w:rPr>
        <w:t>M.S. in Petroleum Economics and Management, IFP, Paris, France; GPA 3.9 (1</w:t>
      </w:r>
      <w:r>
        <w:rPr>
          <w:sz w:val="22"/>
          <w:vertAlign w:val="superscript"/>
        </w:rPr>
        <w:t>st</w:t>
      </w:r>
      <w:r>
        <w:rPr>
          <w:sz w:val="22"/>
        </w:rPr>
        <w:t xml:space="preserve"> in class)</w:t>
      </w:r>
    </w:p>
    <w:p>
      <w:pPr>
        <w:pStyle w:val="Normal"/>
        <w:numPr>
          <w:ilvl w:val="0"/>
          <w:numId w:val="5"/>
        </w:numPr>
        <w:tabs>
          <w:tab w:val="clear" w:pos="720"/>
          <w:tab w:val="left" w:pos="1080" w:leader="none"/>
        </w:tabs>
        <w:ind w:hanging="360" w:start="1080" w:end="0"/>
        <w:rPr>
          <w:sz w:val="22"/>
        </w:rPr>
      </w:pPr>
      <w:r>
        <w:rPr>
          <w:i/>
          <w:sz w:val="22"/>
        </w:rPr>
        <w:t>Oil, Gas &amp; Electricity - Production, Economics &amp; Management.</w:t>
      </w:r>
      <w:r>
        <w:rPr>
          <w:sz w:val="22"/>
        </w:rPr>
        <w:t xml:space="preserve"> </w:t>
      </w:r>
    </w:p>
    <w:p>
      <w:pPr>
        <w:pStyle w:val="Normal"/>
        <w:rPr>
          <w:sz w:val="22"/>
        </w:rPr>
      </w:pPr>
      <w:r>
        <w:rPr>
          <w:sz w:val="22"/>
        </w:rPr>
        <w:t>M.S. in Mineral Economics, Colorado School of Mines, Golden, CO, USA; GPA 3.9</w:t>
      </w:r>
    </w:p>
    <w:p>
      <w:pPr>
        <w:pStyle w:val="Normal"/>
        <w:numPr>
          <w:ilvl w:val="0"/>
          <w:numId w:val="7"/>
        </w:numPr>
        <w:tabs>
          <w:tab w:val="clear" w:pos="720"/>
          <w:tab w:val="left" w:pos="1080" w:leader="none"/>
        </w:tabs>
        <w:ind w:hanging="360" w:start="1080" w:end="0"/>
        <w:rPr>
          <w:sz w:val="22"/>
        </w:rPr>
      </w:pPr>
      <w:r>
        <w:rPr>
          <w:i/>
          <w:sz w:val="22"/>
        </w:rPr>
        <w:t xml:space="preserve">Real Option Valuation of Natural Resource Assets, Econometrics </w:t>
      </w:r>
      <w:r>
        <w:rPr>
          <w:sz w:val="22"/>
        </w:rPr>
        <w:t>and</w:t>
      </w:r>
      <w:r>
        <w:rPr>
          <w:i/>
          <w:sz w:val="22"/>
        </w:rPr>
        <w:t xml:space="preserve"> International Investment and Sustainable Development.</w:t>
      </w:r>
    </w:p>
    <w:p>
      <w:pPr>
        <w:pStyle w:val="Normal"/>
        <w:rPr>
          <w:sz w:val="22"/>
        </w:rPr>
      </w:pPr>
      <w:r>
        <w:rPr>
          <w:sz w:val="22"/>
        </w:rPr>
      </w:r>
    </w:p>
    <w:p>
      <w:pPr>
        <w:pStyle w:val="Normal"/>
        <w:rPr>
          <w:sz w:val="22"/>
        </w:rPr>
      </w:pPr>
      <w:r>
        <w:rPr>
          <w:sz w:val="22"/>
        </w:rPr>
      </w:r>
    </w:p>
    <w:tbl>
      <w:tblPr>
        <w:tblW w:w="10404" w:type="dxa"/>
        <w:jc w:val="start"/>
        <w:tblInd w:w="108" w:type="dxa"/>
        <w:tblLayout w:type="fixed"/>
        <w:tblCellMar>
          <w:top w:w="0" w:type="dxa"/>
          <w:start w:w="108" w:type="dxa"/>
          <w:bottom w:w="0" w:type="dxa"/>
          <w:end w:w="108" w:type="dxa"/>
        </w:tblCellMar>
      </w:tblPr>
      <w:tblGrid>
        <w:gridCol w:w="1350"/>
        <w:gridCol w:w="6480"/>
        <w:gridCol w:w="2574"/>
      </w:tblGrid>
      <w:tr>
        <w:trPr>
          <w:trHeight w:val="288" w:hRule="atLeast"/>
        </w:trPr>
        <w:tc>
          <w:tcPr>
            <w:tcW w:w="1350" w:type="dxa"/>
            <w:tcBorders/>
          </w:tcPr>
          <w:p>
            <w:pPr>
              <w:pStyle w:val="Normal"/>
              <w:rPr>
                <w:sz w:val="22"/>
              </w:rPr>
            </w:pPr>
            <w:r>
              <w:rPr>
                <w:sz w:val="22"/>
              </w:rPr>
              <w:t>8/91-12/96</w:t>
            </w:r>
          </w:p>
        </w:tc>
        <w:tc>
          <w:tcPr>
            <w:tcW w:w="6480" w:type="dxa"/>
            <w:tcBorders/>
          </w:tcPr>
          <w:p>
            <w:pPr>
              <w:pStyle w:val="Normal"/>
              <w:rPr>
                <w:b/>
              </w:rPr>
            </w:pPr>
            <w:r>
              <w:rPr>
                <w:b/>
                <w:sz w:val="22"/>
              </w:rPr>
              <w:t>M.S. in Chemical Engineering</w:t>
            </w:r>
          </w:p>
        </w:tc>
        <w:tc>
          <w:tcPr>
            <w:tcW w:w="2574" w:type="dxa"/>
            <w:tcBorders/>
          </w:tcPr>
          <w:p>
            <w:pPr>
              <w:pStyle w:val="Normal"/>
              <w:jc w:val="end"/>
              <w:rPr>
                <w:sz w:val="22"/>
              </w:rPr>
            </w:pPr>
            <w:r>
              <w:rPr>
                <w:sz w:val="22"/>
              </w:rPr>
              <w:t>Delft, the Netherlands</w:t>
            </w:r>
          </w:p>
        </w:tc>
      </w:tr>
    </w:tbl>
    <w:p>
      <w:pPr>
        <w:pStyle w:val="Normal"/>
        <w:rPr>
          <w:sz w:val="22"/>
        </w:rPr>
      </w:pPr>
      <w:r>
        <w:rPr>
          <w:sz w:val="22"/>
        </w:rPr>
      </w:r>
    </w:p>
    <w:p>
      <w:pPr>
        <w:pStyle w:val="Normal"/>
        <w:ind w:hanging="1440" w:start="1440" w:end="0"/>
        <w:rPr>
          <w:sz w:val="22"/>
        </w:rPr>
      </w:pPr>
      <w:r>
        <w:rPr>
          <w:sz w:val="22"/>
        </w:rPr>
        <w:t xml:space="preserve">B.S. and M.S. in Chemical Engineering, Delft University of Technology, the Netherlands, GPA 3.6 </w:t>
      </w:r>
    </w:p>
    <w:p>
      <w:pPr>
        <w:pStyle w:val="BodyText"/>
        <w:numPr>
          <w:ilvl w:val="0"/>
          <w:numId w:val="2"/>
        </w:numPr>
        <w:tabs>
          <w:tab w:val="clear" w:pos="720"/>
          <w:tab w:val="left" w:pos="1080" w:leader="none"/>
        </w:tabs>
        <w:ind w:hanging="360" w:start="1080" w:end="0"/>
        <w:rPr>
          <w:i/>
          <w:i/>
        </w:rPr>
      </w:pPr>
      <w:r>
        <w:rPr>
          <w:i/>
        </w:rPr>
        <w:t>Chemical Process Engineering –</w:t>
      </w:r>
      <w:r>
        <w:rPr/>
        <w:t xml:space="preserve"> </w:t>
      </w:r>
      <w:r>
        <w:rPr>
          <w:i/>
        </w:rPr>
        <w:t>Thermodynamics and</w:t>
      </w:r>
      <w:r>
        <w:rPr/>
        <w:t xml:space="preserve"> </w:t>
      </w:r>
      <w:r>
        <w:rPr>
          <w:i/>
        </w:rPr>
        <w:t>Physical Transport Phenomena</w:t>
      </w:r>
    </w:p>
    <w:p>
      <w:pPr>
        <w:pStyle w:val="Normal"/>
        <w:rPr>
          <w:b/>
          <w:i/>
          <w:i/>
          <w:sz w:val="22"/>
        </w:rPr>
      </w:pPr>
      <w:r>
        <w:rPr>
          <w:b/>
          <w:i/>
          <w:sz w:val="22"/>
        </w:rPr>
      </w:r>
    </w:p>
    <w:p>
      <w:pPr>
        <w:pStyle w:val="Normal"/>
        <w:rPr>
          <w:b/>
          <w:sz w:val="22"/>
        </w:rPr>
      </w:pPr>
      <w:r>
        <w:rPr>
          <w:b/>
          <w:sz w:val="22"/>
        </w:rPr>
      </w:r>
    </w:p>
    <w:p>
      <w:pPr>
        <w:pStyle w:val="Heading5"/>
        <w:ind w:hanging="0" w:start="0"/>
        <w:rPr>
          <w:rFonts w:ascii="Times New Roman" w:hAnsi="Times New Roman" w:cs="Times New Roman"/>
        </w:rPr>
      </w:pPr>
      <w:r>
        <w:rPr>
          <w:rFonts w:cs="Times New Roman" w:ascii="Times New Roman" w:hAnsi="Times New Roman"/>
        </w:rPr>
        <w:t>SPECIFIC SKILLS AND FURTHER INFORMATION</w:t>
      </w:r>
    </w:p>
    <w:p>
      <w:pPr>
        <w:pStyle w:val="Normal"/>
        <w:rPr>
          <w:sz w:val="22"/>
        </w:rPr>
      </w:pPr>
      <w:r>
        <w:rPr>
          <w:sz w:val="22"/>
        </w:rPr>
        <w:t xml:space="preserve"> </w:t>
      </w:r>
    </w:p>
    <w:p>
      <w:pPr>
        <w:pStyle w:val="Normal"/>
        <w:ind w:hanging="1440" w:start="1440" w:end="0"/>
        <w:rPr/>
      </w:pPr>
      <w:r>
        <w:rPr>
          <w:sz w:val="22"/>
        </w:rPr>
        <w:t xml:space="preserve">Languages:       </w:t>
        <w:tab/>
        <w:t xml:space="preserve">Fluent in </w:t>
      </w:r>
      <w:r>
        <w:rPr>
          <w:b/>
          <w:sz w:val="22"/>
        </w:rPr>
        <w:t xml:space="preserve">Dutch, Portuguese &amp; German. </w:t>
      </w:r>
      <w:r>
        <w:rPr>
          <w:sz w:val="22"/>
        </w:rPr>
        <w:t xml:space="preserve">Good command of </w:t>
      </w:r>
      <w:r>
        <w:rPr>
          <w:b/>
          <w:sz w:val="22"/>
        </w:rPr>
        <w:t>Spanish</w:t>
      </w:r>
      <w:r>
        <w:rPr>
          <w:sz w:val="22"/>
        </w:rPr>
        <w:t xml:space="preserve"> and </w:t>
      </w:r>
      <w:r>
        <w:rPr>
          <w:b/>
          <w:sz w:val="22"/>
        </w:rPr>
        <w:t>French</w:t>
      </w:r>
      <w:r>
        <w:rPr>
          <w:sz w:val="22"/>
        </w:rPr>
        <w:t>.</w:t>
      </w:r>
    </w:p>
    <w:p>
      <w:pPr>
        <w:pStyle w:val="Normal"/>
        <w:ind w:hanging="1440" w:start="1440" w:end="0"/>
        <w:rPr>
          <w:sz w:val="22"/>
        </w:rPr>
      </w:pPr>
      <w:r>
        <w:rPr>
          <w:sz w:val="22"/>
        </w:rPr>
        <w:t>Organizing:</w:t>
        <w:tab/>
        <w:t>Fully organized a 1-month study tour to China for 30 students and 6 professors (1995)</w:t>
      </w:r>
    </w:p>
    <w:p>
      <w:pPr>
        <w:pStyle w:val="Normal"/>
        <w:rPr>
          <w:sz w:val="22"/>
        </w:rPr>
      </w:pPr>
      <w:r>
        <w:rPr>
          <w:sz w:val="22"/>
        </w:rPr>
        <w:t xml:space="preserve"> </w:t>
      </w:r>
      <w:r>
        <w:rPr>
          <w:sz w:val="22"/>
        </w:rPr>
        <w:tab/>
        <w:tab/>
        <w:t>and various ski trips for students to resorts in Colorado, Austria &amp; France (since 1991).</w:t>
      </w:r>
    </w:p>
    <w:p>
      <w:pPr>
        <w:pStyle w:val="BodyTextIndent"/>
        <w:rPr>
          <w:rFonts w:ascii="Times New Roman" w:hAnsi="Times New Roman" w:cs="Times New Roman"/>
          <w:sz w:val="22"/>
        </w:rPr>
      </w:pPr>
      <w:r>
        <w:rPr>
          <w:rFonts w:cs="Times New Roman" w:ascii="Times New Roman" w:hAnsi="Times New Roman"/>
          <w:sz w:val="22"/>
        </w:rPr>
        <w:t>Information</w:t>
      </w:r>
    </w:p>
    <w:p>
      <w:pPr>
        <w:pStyle w:val="BodyTextIndent"/>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Technology:</w:t>
        <w:tab/>
        <w:t>MS-Office, MS-Project, AutoCAD, E-views (econometrics), Crystal Ball, Precision Tree, etc.</w:t>
      </w:r>
    </w:p>
    <w:p>
      <w:pPr>
        <w:pStyle w:val="Normal"/>
        <w:ind w:hanging="1440" w:start="1440" w:end="0"/>
        <w:rPr>
          <w:sz w:val="22"/>
        </w:rPr>
      </w:pPr>
      <w:r>
        <w:rPr>
          <w:sz w:val="22"/>
        </w:rPr>
        <w:t>Interests:</w:t>
        <w:tab/>
        <w:t xml:space="preserve">Travel, reading, snowboarding, windsurfing, soccer, tennis. </w:t>
      </w:r>
    </w:p>
    <w:p>
      <w:pPr>
        <w:pStyle w:val="Normal"/>
        <w:rPr>
          <w:sz w:val="22"/>
        </w:rPr>
      </w:pPr>
      <w:r>
        <w:rPr>
          <w:sz w:val="22"/>
        </w:rPr>
        <w:t>International:</w:t>
        <w:tab/>
        <w:t>Resided in Brazil, Bolivia, China, France, Netherlands and USA.</w:t>
      </w:r>
    </w:p>
    <w:p>
      <w:pPr>
        <w:pStyle w:val="Normal"/>
        <w:rPr>
          <w:sz w:val="22"/>
        </w:rPr>
      </w:pPr>
      <w:r>
        <w:rPr>
          <w:sz w:val="22"/>
        </w:rPr>
        <w:t>References:</w:t>
        <w:tab/>
        <w:t>References and recommendations available upon request.</w:t>
      </w:r>
    </w:p>
    <w:sectPr>
      <w:type w:val="nextPage"/>
      <w:pgSz w:w="11906" w:h="16838"/>
      <w:pgMar w:left="864" w:right="749" w:gutter="0" w:header="0" w:top="864" w:footer="0" w:bottom="80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Tahoma">
    <w:charset w:val="00" w:characterSet="windows-1252"/>
    <w:family w:val="swiss"/>
    <w:pitch w:val="variable"/>
  </w:font>
  <w:font w:name="Wingdings">
    <w:charset w:val="02"/>
    <w:family w:val="auto"/>
    <w:pitch w:val="variable"/>
  </w:font>
  <w:font w:name="Lucida Sans Unicode">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8"/>
      </w:rPr>
    </w:lvl>
  </w:abstractNum>
  <w:abstractNum w:abstractNumId="3">
    <w:lvl w:ilvl="0">
      <w:start w:val="1"/>
      <w:numFmt w:val="bullet"/>
      <w:lvlText w:val=""/>
      <w:lvlJc w:val="start"/>
      <w:pPr>
        <w:tabs>
          <w:tab w:val="num" w:pos="360"/>
        </w:tabs>
        <w:ind w:start="360" w:hanging="360"/>
      </w:pPr>
      <w:rPr>
        <w:rFonts w:ascii="Symbol" w:hAnsi="Symbol" w:cs="Symbol" w:hint="default"/>
        <w:sz w:val="18"/>
      </w:rPr>
    </w:lvl>
  </w:abstractNum>
  <w:abstractNum w:abstractNumId="4">
    <w:lvl w:ilvl="0">
      <w:start w:val="1"/>
      <w:numFmt w:val="bullet"/>
      <w:lvlText w:val=""/>
      <w:lvlJc w:val="start"/>
      <w:pPr>
        <w:tabs>
          <w:tab w:val="num" w:pos="360"/>
        </w:tabs>
        <w:ind w:start="360" w:hanging="360"/>
      </w:pPr>
      <w:rPr>
        <w:rFonts w:ascii="Symbol" w:hAnsi="Symbol" w:cs="Symbol" w:hint="default"/>
        <w:sz w:val="18"/>
      </w:rPr>
    </w:lvl>
  </w:abstractNum>
  <w:abstractNum w:abstractNumId="5">
    <w:lvl w:ilvl="0">
      <w:start w:val="1"/>
      <w:numFmt w:val="bullet"/>
      <w:lvlText w:val=""/>
      <w:lvlJc w:val="start"/>
      <w:pPr>
        <w:tabs>
          <w:tab w:val="num" w:pos="360"/>
        </w:tabs>
        <w:ind w:start="360" w:hanging="360"/>
      </w:pPr>
      <w:rPr>
        <w:rFonts w:ascii="Symbol" w:hAnsi="Symbol" w:cs="Symbol" w:hint="default"/>
        <w:sz w:val="18"/>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Symbol" w:hAnsi="Symbol" w:cs="Symbol" w:hint="default"/>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i/>
    </w:rPr>
  </w:style>
  <w:style w:type="paragraph" w:styleId="Heading2">
    <w:name w:val="heading 2"/>
    <w:basedOn w:val="Normal"/>
    <w:next w:val="Normal"/>
    <w:qFormat/>
    <w:pPr>
      <w:keepNext w:val="true"/>
      <w:numPr>
        <w:ilvl w:val="1"/>
        <w:numId w:val="1"/>
      </w:numPr>
      <w:ind w:hanging="0" w:start="1440" w:end="0"/>
      <w:outlineLvl w:val="1"/>
    </w:pPr>
    <w:rPr>
      <w:rFonts w:ascii="Arial" w:hAnsi="Arial" w:cs="Arial"/>
      <w:b/>
      <w:sz w:val="1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jc w:val="end"/>
      <w:outlineLvl w:val="3"/>
    </w:pPr>
    <w:rPr>
      <w:rFonts w:ascii="Verdana" w:hAnsi="Verdana" w:cs="Verdana"/>
      <w:b/>
      <w:sz w:val="22"/>
    </w:rPr>
  </w:style>
  <w:style w:type="paragraph" w:styleId="Heading5">
    <w:name w:val="heading 5"/>
    <w:basedOn w:val="Normal"/>
    <w:next w:val="Normal"/>
    <w:qFormat/>
    <w:pPr>
      <w:keepNext w:val="true"/>
      <w:numPr>
        <w:ilvl w:val="4"/>
        <w:numId w:val="1"/>
      </w:numPr>
      <w:outlineLvl w:val="4"/>
    </w:pPr>
    <w:rPr>
      <w:rFonts w:ascii="Arial" w:hAnsi="Arial" w:cs="Arial"/>
      <w:b/>
      <w:i/>
      <w:sz w:val="22"/>
    </w:rPr>
  </w:style>
  <w:style w:type="paragraph" w:styleId="Heading6">
    <w:name w:val="heading 6"/>
    <w:basedOn w:val="Normal"/>
    <w:next w:val="Normal"/>
    <w:qFormat/>
    <w:pPr>
      <w:keepNext w:val="true"/>
      <w:numPr>
        <w:ilvl w:val="5"/>
        <w:numId w:val="1"/>
      </w:numPr>
      <w:jc w:val="both"/>
      <w:outlineLvl w:val="5"/>
    </w:pPr>
    <w:rPr>
      <w:rFonts w:ascii="Tahoma" w:hAnsi="Tahoma" w:cs="Tahoma"/>
      <w:b/>
      <w:sz w:val="22"/>
    </w:rPr>
  </w:style>
  <w:style w:type="character" w:styleId="WW8Num2z0">
    <w:name w:val="WW8Num2z0"/>
    <w:qFormat/>
    <w:rPr>
      <w:rFonts w:ascii="Symbol" w:hAnsi="Symbol" w:cs="Symbol"/>
      <w:sz w:val="18"/>
    </w:rPr>
  </w:style>
  <w:style w:type="character" w:styleId="WW8Num3z0">
    <w:name w:val="WW8Num3z0"/>
    <w:qFormat/>
    <w:rPr>
      <w:rFonts w:ascii="Symbol" w:hAnsi="Symbol" w:cs="Symbol"/>
      <w:sz w:val="18"/>
    </w:rPr>
  </w:style>
  <w:style w:type="character" w:styleId="WW8Num4z0">
    <w:name w:val="WW8Num4z0"/>
    <w:qFormat/>
    <w:rPr>
      <w:rFonts w:ascii="Times New Roman" w:hAnsi="Times New Roman" w:cs="Times New Roman"/>
    </w:rPr>
  </w:style>
  <w:style w:type="character" w:styleId="WW8Num5z0">
    <w:name w:val="WW8Num5z0"/>
    <w:qFormat/>
    <w:rPr>
      <w:rFonts w:ascii="Symbol" w:hAnsi="Symbol" w:cs="Symbol"/>
      <w:sz w:val="18"/>
    </w:rPr>
  </w:style>
  <w:style w:type="character" w:styleId="WW8Num6z0">
    <w:name w:val="WW8Num6z0"/>
    <w:qFormat/>
    <w:rPr>
      <w:rFonts w:ascii="Symbol" w:hAnsi="Symbol" w:cs="Symbol"/>
      <w:sz w:val="18"/>
    </w:rPr>
  </w:style>
  <w:style w:type="character" w:styleId="WW8Num7z0">
    <w:name w:val="WW8Num7z0"/>
    <w:qFormat/>
    <w:rPr>
      <w:rFonts w:ascii="Symbol" w:hAnsi="Symbol" w:cs="Symbol"/>
      <w:sz w:val="18"/>
    </w:rPr>
  </w:style>
  <w:style w:type="character" w:styleId="WW8Num8z0">
    <w:name w:val="WW8Num8z0"/>
    <w:qFormat/>
    <w:rPr>
      <w:rFonts w:ascii="Symbol" w:hAnsi="Symbol" w:cs="Symbol"/>
    </w:rPr>
  </w:style>
  <w:style w:type="character" w:styleId="WW8Num9z0">
    <w:name w:val="WW8Num9z0"/>
    <w:qFormat/>
    <w:rPr>
      <w:rFonts w:ascii="Symbol" w:hAnsi="Symbol" w:cs="Symbol"/>
      <w:sz w:val="18"/>
    </w:rPr>
  </w:style>
  <w:style w:type="character" w:styleId="WW8Num10z0">
    <w:name w:val="WW8Num10z0"/>
    <w:qFormat/>
    <w:rPr>
      <w:rFonts w:ascii="Wingdings" w:hAnsi="Wingdings" w:cs="Wingdings"/>
      <w:sz w:val="16"/>
    </w:rPr>
  </w:style>
  <w:style w:type="character" w:styleId="WW8Num11z0">
    <w:name w:val="WW8Num11z0"/>
    <w:qFormat/>
    <w:rPr>
      <w:rFonts w:ascii="Symbol" w:hAnsi="Symbol" w:cs="Symbol"/>
    </w:rPr>
  </w:style>
  <w:style w:type="character" w:styleId="WW8Num12z0">
    <w:name w:val="WW8Num12z0"/>
    <w:qFormat/>
    <w:rPr>
      <w:rFonts w:ascii="Symbol" w:hAnsi="Symbol" w:cs="Symbol"/>
      <w:sz w:val="18"/>
    </w:rPr>
  </w:style>
  <w:style w:type="character" w:styleId="WW8Num13z0">
    <w:name w:val="WW8Num13z0"/>
    <w:qFormat/>
    <w:rPr>
      <w:rFonts w:ascii="Wingdings" w:hAnsi="Wingdings" w:cs="Wingdings"/>
      <w:sz w:val="16"/>
    </w:rPr>
  </w:style>
  <w:style w:type="character" w:styleId="WW8Num14z0">
    <w:name w:val="WW8Num14z0"/>
    <w:qFormat/>
    <w:rPr>
      <w:rFonts w:ascii="Wingdings" w:hAnsi="Wingdings" w:cs="Wingdings"/>
      <w:sz w:val="14"/>
    </w:rPr>
  </w:style>
  <w:style w:type="character" w:styleId="WW8Num15z0">
    <w:name w:val="WW8Num15z0"/>
    <w:qFormat/>
    <w:rPr>
      <w:rFonts w:ascii="Symbol" w:hAnsi="Symbol" w:cs="Symbol"/>
      <w:sz w:val="18"/>
    </w:rPr>
  </w:style>
  <w:style w:type="character" w:styleId="WW8Num16z0">
    <w:name w:val="WW8Num16z0"/>
    <w:qFormat/>
    <w:rPr>
      <w:rFonts w:ascii="Symbol" w:hAnsi="Symbol" w:cs="Symbol"/>
      <w:sz w:val="18"/>
    </w:rPr>
  </w:style>
  <w:style w:type="character" w:styleId="WW8Num17z0">
    <w:name w:val="WW8Num17z0"/>
    <w:qFormat/>
    <w:rPr>
      <w:rFonts w:ascii="Symbol" w:hAnsi="Symbol" w:cs="Symbol"/>
      <w:sz w:val="18"/>
    </w:rPr>
  </w:style>
  <w:style w:type="character" w:styleId="WW8NumSt1z0">
    <w:name w:val="WW8NumSt1z0"/>
    <w:qFormat/>
    <w:rPr>
      <w:rFonts w:ascii="Symbol" w:hAnsi="Symbol" w:cs="Symbol"/>
    </w:rPr>
  </w:style>
  <w:style w:type="character" w:styleId="WW8NumSt8z0">
    <w:name w:val="WW8NumSt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Lucida Sans Unicode" w:hAnsi="Lucida Sans Unicode" w:cs="Lucida Sans Unicode"/>
      <w:b/>
      <w:sz w:val="32"/>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1440" w:start="1440" w:end="0"/>
    </w:pPr>
    <w:rPr>
      <w:rFonts w:ascii="Verdana" w:hAnsi="Verdana" w:cs="Verdana"/>
    </w:rPr>
  </w:style>
  <w:style w:type="paragraph" w:styleId="BodyTextIndent2">
    <w:name w:val="Body Text Indent 2"/>
    <w:basedOn w:val="Normal"/>
    <w:qFormat/>
    <w:pPr>
      <w:ind w:hanging="1440" w:start="1440" w:end="0"/>
    </w:pPr>
    <w:rPr>
      <w:rFonts w:ascii="Verdana" w:hAnsi="Verdana" w:cs="Verdana"/>
      <w:sz w:val="22"/>
    </w:rPr>
  </w:style>
  <w:style w:type="paragraph" w:styleId="BodyText2">
    <w:name w:val="Body Text 2"/>
    <w:basedOn w:val="Normal"/>
    <w:qFormat/>
    <w:pPr>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huizer@lycos.com" TargetMode="External"/><Relationship Id="rId3" Type="http://schemas.openxmlformats.org/officeDocument/2006/relationships/hyperlink" Target="mailto:chuizer@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2001-05-29T10:29:00Z</dcterms:created>
  <dc:creator>chuizer</dc:creator>
  <dc:description/>
  <dc:language>en-CA</dc:language>
  <cp:lastModifiedBy>arichard</cp:lastModifiedBy>
  <cp:lastPrinted>2001-05-29T07:58:00Z</cp:lastPrinted>
  <dcterms:modified xsi:type="dcterms:W3CDTF">2001-05-29T10:29:00Z</dcterms:modified>
  <cp:revision>2</cp:revision>
  <dc:subject/>
  <dc:title>CHRISTIAAN HUIZER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