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media/image1.wmf" ContentType="image/x-wmf"/>
  <Override PartName="/word/media/image2.wmf" ContentType="image/x-wmf"/>
  <Override PartName="/word/media/image3.wmf" ContentType="image/x-wmf"/>
  <Override PartName="/word/media/image4.png" ContentType="image/png"/>
  <Override PartName="/word/header1.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smallCaps/>
          <w:sz w:val="24"/>
        </w:rPr>
      </w:pPr>
      <w:r>
        <w:rPr>
          <w:b/>
          <w:smallCaps/>
          <w:sz w:val="24"/>
        </w:rPr>
        <w:t>Choosing the Riskfree Benchmark for Credit Pricing</w:t>
      </w:r>
    </w:p>
    <w:p>
      <w:pPr>
        <w:pStyle w:val="Normal"/>
        <w:jc w:val="both"/>
        <w:rPr>
          <w:b/>
          <w:smallCaps/>
          <w:sz w:val="24"/>
        </w:rPr>
      </w:pPr>
      <w:r>
        <w:rPr>
          <w:b/>
          <w:smallCaps/>
          <w:sz w:val="24"/>
        </w:rPr>
      </w:r>
    </w:p>
    <w:p>
      <w:pPr>
        <w:pStyle w:val="Normal"/>
        <w:jc w:val="both"/>
        <w:rPr>
          <w:b/>
          <w:smallCaps/>
          <w:sz w:val="24"/>
        </w:rPr>
      </w:pPr>
      <w:r>
        <w:rPr>
          <w:b/>
          <w:smallCaps/>
          <w:sz w:val="24"/>
        </w:rPr>
        <w:t>Ben Parsons, Enron Europe Research Group</w:t>
      </w:r>
    </w:p>
    <w:p>
      <w:pPr>
        <w:pStyle w:val="Normal"/>
        <w:jc w:val="both"/>
        <w:rPr>
          <w:b/>
          <w:smallCaps/>
          <w:sz w:val="24"/>
        </w:rPr>
      </w:pPr>
      <w:r>
        <w:rPr>
          <w:b/>
          <w:smallCaps/>
          <w:sz w:val="24"/>
        </w:rPr>
      </w:r>
    </w:p>
    <w:p>
      <w:pPr>
        <w:pStyle w:val="Heading1"/>
        <w:ind w:hanging="0" w:start="0"/>
        <w:jc w:val="both"/>
        <w:rPr>
          <w:sz w:val="24"/>
        </w:rPr>
      </w:pPr>
      <w:r>
        <w:rPr>
          <w:sz w:val="24"/>
        </w:rPr>
        <w:t>Draft:</w:t>
        <w:tab/>
        <w:t>8 March, 2000</w:t>
        <w:tab/>
        <w:t>v1.0</w:t>
      </w:r>
    </w:p>
    <w:p>
      <w:pPr>
        <w:pStyle w:val="Normal"/>
        <w:pBdr>
          <w:bottom w:val="single" w:sz="4" w:space="1" w:color="000000"/>
        </w:pBdr>
        <w:jc w:val="both"/>
        <w:rPr>
          <w:b/>
          <w:smallCaps/>
          <w:sz w:val="24"/>
        </w:rPr>
      </w:pPr>
      <w:r>
        <w:rPr>
          <w:b/>
          <w:smallCaps/>
          <w:sz w:val="24"/>
        </w:rPr>
      </w:r>
    </w:p>
    <w:p>
      <w:pPr>
        <w:pStyle w:val="Normal"/>
        <w:jc w:val="both"/>
        <w:rPr>
          <w:b/>
          <w:smallCaps/>
        </w:rPr>
      </w:pPr>
      <w:r>
        <w:rPr>
          <w:b/>
          <w:smallCaps/>
        </w:rPr>
      </w:r>
    </w:p>
    <w:p>
      <w:pPr>
        <w:pStyle w:val="Normal"/>
        <w:jc w:val="both"/>
        <w:rPr/>
      </w:pPr>
      <w:r>
        <w:rPr/>
        <w:t>The riskfree rate is used in most credit pricing models, as spreads above this rate are considered to measure the market’s view of credit or default risk. The exact choice of the riskfree rate becomes crucial when we are attempting to price credit products using a model-based rather than a replication approach, as we have to map credit spreads in one market to prices in another. This has come to light recently in view of our internal attempts to price bankruptcy swaps using default probabilities derived from spreads above Treasury rates, combined with the recent volatility and dislocation in the Treasury market.</w:t>
      </w:r>
    </w:p>
    <w:p>
      <w:pPr>
        <w:pStyle w:val="Normal"/>
        <w:jc w:val="both"/>
        <w:rPr/>
      </w:pPr>
      <w:r>
        <w:rPr/>
      </w:r>
    </w:p>
    <w:p>
      <w:pPr>
        <w:pStyle w:val="Normal"/>
        <w:jc w:val="both"/>
        <w:rPr/>
      </w:pPr>
      <w:r>
        <w:rPr/>
        <w:t>This short paper describes our current methodology, along with the problems caused by the recent turmoil in the Treasury market. We present the alternatives on offer as benchmark riskfree curves, before offering concluding remarks. The suggestions made are preliminary, and open to discussion.</w:t>
      </w:r>
    </w:p>
    <w:p>
      <w:pPr>
        <w:pStyle w:val="Normal"/>
        <w:pBdr>
          <w:bottom w:val="single" w:sz="4" w:space="1" w:color="000000"/>
        </w:pBdr>
        <w:jc w:val="both"/>
        <w:rPr/>
      </w:pPr>
      <w:r>
        <w:rPr/>
      </w:r>
    </w:p>
    <w:p>
      <w:pPr>
        <w:pStyle w:val="Normal"/>
        <w:jc w:val="both"/>
        <w:rPr/>
      </w:pPr>
      <w:r>
        <w:rPr/>
      </w:r>
    </w:p>
    <w:p>
      <w:pPr>
        <w:pStyle w:val="Normal"/>
        <w:numPr>
          <w:ilvl w:val="0"/>
          <w:numId w:val="2"/>
        </w:numPr>
        <w:jc w:val="both"/>
        <w:rPr/>
      </w:pPr>
      <w:r>
        <w:rPr>
          <w:b/>
        </w:rPr>
        <w:t>Current Methodology</w:t>
      </w:r>
    </w:p>
    <w:p>
      <w:pPr>
        <w:pStyle w:val="Normal"/>
        <w:jc w:val="both"/>
        <w:rPr/>
      </w:pPr>
      <w:r>
        <w:rPr/>
      </w:r>
    </w:p>
    <w:p>
      <w:pPr>
        <w:pStyle w:val="Normal"/>
        <w:jc w:val="both"/>
        <w:rPr/>
      </w:pPr>
      <w:r>
        <w:rPr/>
        <w:t>For deal-level credit reserve measurement we have traditionally taken the entire spread between risky Fair Market Curve (FMC) yield curves and the Treasury yield curve as being attributable to credit risk. At portfolio-level we strip out 5% of the spread as liquidity, and still use Treasuries as our benchmark riskfree curve. The credit spread is then used to derive bond-implied default probabilities, which themselves are used to simulate default times within the model. The credit reserve is therefore highly sensitive to the choice of credit spread.</w:t>
      </w:r>
    </w:p>
    <w:p>
      <w:pPr>
        <w:pStyle w:val="Normal"/>
        <w:jc w:val="both"/>
        <w:rPr/>
      </w:pPr>
      <w:r>
        <w:rPr/>
      </w:r>
    </w:p>
    <w:p>
      <w:pPr>
        <w:pStyle w:val="Normal"/>
        <w:jc w:val="both"/>
        <w:rPr/>
      </w:pPr>
      <w:r>
        <w:rPr/>
        <w:t>Within EnronCredit.com we initially tried to apply the same methodology for deriving default probabilities from credit spreads to the pricing of bankruptcy swaps. However we found that the model generated prices which were consistently greater than those observed in the credit default swap market, leading us to examine the role of the Treasury curve as the riskfree rate. Recent volatility in the Treasury bond market, resulting from the Treasury’s decision to buy back long-term debt, indicated technical differences between government and corporate bonds that could have caused such discrepancies. Consequently we made the decision to shift the riskfree curve to the Fannie Maes, under the theory that the US government would never let the Federal National Mortgage Association (FNMA) go bankrupt. This brought model-generated prices in line with market prices, however we still needed a more thorough examination of the problems of using Treasuries.</w:t>
      </w:r>
    </w:p>
    <w:p>
      <w:pPr>
        <w:pStyle w:val="Normal"/>
        <w:jc w:val="both"/>
        <w:rPr/>
      </w:pPr>
      <w:r>
        <w:rPr/>
      </w:r>
    </w:p>
    <w:p>
      <w:pPr>
        <w:pStyle w:val="Normal"/>
        <w:numPr>
          <w:ilvl w:val="0"/>
          <w:numId w:val="2"/>
        </w:numPr>
        <w:jc w:val="both"/>
        <w:rPr>
          <w:b/>
        </w:rPr>
      </w:pPr>
      <w:r>
        <w:rPr>
          <w:b/>
        </w:rPr>
        <w:t>Recent Treasury Market Turmoil</w:t>
      </w:r>
    </w:p>
    <w:p>
      <w:pPr>
        <w:pStyle w:val="Normal"/>
        <w:jc w:val="both"/>
        <w:rPr>
          <w:b/>
        </w:rPr>
      </w:pPr>
      <w:r>
        <w:rPr>
          <w:b/>
        </w:rPr>
      </w:r>
    </w:p>
    <w:p>
      <w:pPr>
        <w:pStyle w:val="Normal"/>
        <w:jc w:val="both"/>
        <w:rPr/>
      </w:pPr>
      <w:r>
        <w:rPr/>
        <w:t xml:space="preserve">On 13 January 2000 the US Treasury Department, enjoying a surging federal budget surplus, said it would buy back $30 billion in debt outstanding held by the public by the end of the year. Bond traders were expecting such an announcement, but the size of the prospective buyback was greater than expected, sparking a frenzy of activity in the Treasury market. During the following month pension and insurance firms, who need long bonds to match their long-term liabilities, scrambled to snap up 30-year bonds before they become extinct. Price shot up and yields fell, leading to an inversion of the yield curve. </w:t>
      </w:r>
    </w:p>
    <w:p>
      <w:pPr>
        <w:pStyle w:val="Normal"/>
        <w:jc w:val="both"/>
        <w:rPr/>
      </w:pPr>
      <w:r>
        <w:rPr/>
      </w:r>
    </w:p>
    <w:p>
      <w:pPr>
        <w:pStyle w:val="Normal"/>
        <w:jc w:val="both"/>
        <w:rPr/>
      </w:pPr>
      <w:r>
        <w:rPr/>
        <w:t>On February 9</w:t>
      </w:r>
      <w:r>
        <w:rPr>
          <w:vertAlign w:val="superscript"/>
        </w:rPr>
        <w:t>th</w:t>
      </w:r>
      <w:r>
        <w:rPr/>
        <w:t xml:space="preserve">, Larry Summers announced that the Treasury repurchases would not be just of long-dated bonds, but those of all maturities. Instead of calming the market this merely added to the uncertainty and inverted the 10-year yield too. The 30-year yield fell by 25 basis points on this day alone. Market volatility was exacerbated during this period as rumours spread that hedge funds and investment dealers had sustained massive losses from short Treasury positions. </w:t>
      </w:r>
      <w:r>
        <w:br w:type="page"/>
      </w:r>
    </w:p>
    <w:p>
      <w:pPr>
        <w:pStyle w:val="Normal"/>
        <w:jc w:val="both"/>
        <w:rPr/>
      </w:pPr>
      <w:r>
        <w:rPr/>
      </w:r>
    </w:p>
    <w:p>
      <w:pPr>
        <w:pStyle w:val="Normal"/>
        <w:jc w:val="both"/>
        <w:rPr/>
      </w:pPr>
      <w:r>
        <w:rPr/>
        <w:object w:dxaOrig="6401" w:dyaOrig="384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25.2pt;margin-top:11.2pt;width:351pt;height:189pt;mso-wrap-distance-left:9.05pt;mso-wrap-distance-right:9.05pt;mso-position-horizontal-relative:text;mso-position-vertical-relative:text" filled="f" o:ole="">
            <v:imagedata r:id="rId3" o:title=""/>
            <w10:wrap type="topAndBottom"/>
          </v:shape>
          <o:OLEObject Type="Embed" ProgID="Excel.Sheet.12" ShapeID="ole_rId2" DrawAspect="Content" ObjectID="_817445097" r:id="rId2"/>
        </w:object>
      </w:r>
    </w:p>
    <w:p>
      <w:pPr>
        <w:pStyle w:val="Normal"/>
        <w:jc w:val="both"/>
        <w:rPr/>
      </w:pPr>
      <w:r>
        <w:rPr/>
        <w:t>The volatility in the market also caused Wall Street traders to shun the Treasury’s auction of $10 billion of 30-year bonds on February 10. The government was left with the least demand ever at such a sale, with prices falling and yields rising from 6.31 to 6.43 percent. On the same day Fannie Mae began its own quarterly issue of 30-year paper, in an attempt to steal benchmark status from the Treasury market. $2.5 billion was issued, with a yield of 7.125%, and demand was said to be good.</w:t>
      </w:r>
    </w:p>
    <w:p>
      <w:pPr>
        <w:pStyle w:val="Normal"/>
        <w:jc w:val="both"/>
        <w:rPr/>
      </w:pPr>
      <w:r>
        <w:rPr/>
      </w:r>
    </w:p>
    <w:p>
      <w:pPr>
        <w:pStyle w:val="Normal"/>
        <w:numPr>
          <w:ilvl w:val="0"/>
          <w:numId w:val="2"/>
        </w:numPr>
        <w:jc w:val="both"/>
        <w:rPr>
          <w:b/>
        </w:rPr>
      </w:pPr>
      <w:r>
        <w:rPr>
          <w:b/>
        </w:rPr>
        <w:t>Alternative Benchmarks</w:t>
      </w:r>
    </w:p>
    <w:p>
      <w:pPr>
        <w:pStyle w:val="Normal"/>
        <w:jc w:val="both"/>
        <w:rPr>
          <w:b/>
        </w:rPr>
      </w:pPr>
      <w:r>
        <w:rPr>
          <w:b/>
        </w:rPr>
      </w:r>
    </w:p>
    <w:p>
      <w:pPr>
        <w:pStyle w:val="Normal"/>
        <w:jc w:val="both"/>
        <w:rPr/>
      </w:pPr>
      <w:r>
        <w:rPr/>
        <w:t>If the US Treasury persists with its aim to eliminate all domestic debt by 2013, traders will need to find new securities for benchmarking and hedging purposes. Swap spreads, corporate issues and US mortgage-backed bonds will be competing to gain benchmark status in the coming years.</w:t>
      </w:r>
    </w:p>
    <w:p>
      <w:pPr>
        <w:pStyle w:val="Normal"/>
        <w:jc w:val="both"/>
        <w:rPr/>
      </w:pPr>
      <w:r>
        <w:rPr/>
      </w:r>
    </w:p>
    <w:p>
      <w:pPr>
        <w:pStyle w:val="Normal"/>
        <w:numPr>
          <w:ilvl w:val="1"/>
          <w:numId w:val="2"/>
        </w:numPr>
        <w:jc w:val="both"/>
        <w:rPr>
          <w:b/>
        </w:rPr>
      </w:pPr>
      <w:r>
        <w:rPr>
          <w:b/>
        </w:rPr>
        <w:t>Mortgage-Backed Securities</w:t>
      </w:r>
    </w:p>
    <w:p>
      <w:pPr>
        <w:pStyle w:val="Normal"/>
        <w:jc w:val="both"/>
        <w:rPr>
          <w:b/>
        </w:rPr>
      </w:pPr>
      <w:r>
        <w:rPr>
          <w:b/>
        </w:rPr>
      </w:r>
    </w:p>
    <w:p>
      <w:pPr>
        <w:pStyle w:val="Normal"/>
        <w:jc w:val="both"/>
        <w:rPr/>
      </w:pPr>
      <w:r>
        <w:rPr/>
        <w:t xml:space="preserve">Fannie Mae and Freddie Mac now oversee large segments of the $1.8 trillion mortgage-backed securities market. Both firms are privately owned, but their securities are considered safer than AAA as the market assumes the government will stand behind them. They have been responsible for the largest bond sale outside of the Treasury market – $10 billion in January 2000 – and recently doubled the number of sales of 30-year bonds from 2 to 4 in 2000. However liquidity in the agency market is still less than in the Treasury market and volatility is significantly greater, as was observed during the Russian crisis of 1998. </w:t>
      </w:r>
    </w:p>
    <w:p>
      <w:pPr>
        <w:pStyle w:val="Normal"/>
        <w:jc w:val="both"/>
        <w:rPr/>
      </w:pPr>
      <w:r>
        <w:rPr/>
      </w:r>
    </w:p>
    <w:p>
      <w:pPr>
        <w:pStyle w:val="Normal"/>
        <w:numPr>
          <w:ilvl w:val="1"/>
          <w:numId w:val="2"/>
        </w:numPr>
        <w:jc w:val="both"/>
        <w:rPr>
          <w:b/>
        </w:rPr>
      </w:pPr>
      <w:r>
        <w:rPr>
          <w:b/>
        </w:rPr>
        <w:t>Corporate Securities</w:t>
      </w:r>
    </w:p>
    <w:p>
      <w:pPr>
        <w:pStyle w:val="Normal"/>
        <w:jc w:val="both"/>
        <w:rPr>
          <w:b/>
        </w:rPr>
      </w:pPr>
      <w:r>
        <w:rPr>
          <w:b/>
        </w:rPr>
      </w:r>
    </w:p>
    <w:p>
      <w:pPr>
        <w:pStyle w:val="Normal"/>
        <w:jc w:val="both"/>
        <w:rPr/>
      </w:pPr>
      <w:r>
        <w:rPr/>
        <w:t>Before the mid-1970s, when the Treasury began issuing 30-year debt, the bond benchmark was high-quality debt such as issued by the Bell System operating units and General Motors. In an effort to reclaim benchmark status from the Treasury market, large corporations such as Ford, GE and AT&amp;T have been recently issuing enormous classes of debt mimicking some of the characteristics of the long bond. The biggest drawback of these issues is that their yields do not give as pure an interest rate as more secure government debt, as they also reflect the companies’ credit risks.</w:t>
      </w:r>
    </w:p>
    <w:p>
      <w:pPr>
        <w:pStyle w:val="Normal"/>
        <w:jc w:val="both"/>
        <w:rPr/>
      </w:pPr>
      <w:r>
        <w:rPr/>
      </w:r>
    </w:p>
    <w:p>
      <w:pPr>
        <w:pStyle w:val="Normal"/>
        <w:numPr>
          <w:ilvl w:val="1"/>
          <w:numId w:val="2"/>
        </w:numPr>
        <w:jc w:val="both"/>
        <w:rPr>
          <w:b/>
        </w:rPr>
      </w:pPr>
      <w:r>
        <w:rPr>
          <w:b/>
        </w:rPr>
        <w:t>Swaps Market</w:t>
      </w:r>
    </w:p>
    <w:p>
      <w:pPr>
        <w:pStyle w:val="Normal"/>
        <w:jc w:val="both"/>
        <w:rPr>
          <w:b/>
        </w:rPr>
      </w:pPr>
      <w:r>
        <w:rPr>
          <w:b/>
        </w:rPr>
      </w:r>
    </w:p>
    <w:p>
      <w:pPr>
        <w:pStyle w:val="Normal"/>
        <w:jc w:val="both"/>
        <w:rPr/>
      </w:pPr>
      <w:r>
        <w:rPr/>
        <w:t>The interest rate swaps market is generally considered to provide better benchmarking for credit securities, as it is not affected by the technical issues driving the Treasury market. However swap rates do not serve as a measure of the riskfree rate, as they do not yet have a centralised clearing entity, so embed the counterparties’ credit risks.</w:t>
      </w:r>
      <w:r>
        <w:br w:type="page"/>
      </w:r>
    </w:p>
    <w:p>
      <w:pPr>
        <w:pStyle w:val="Normal"/>
        <w:numPr>
          <w:ilvl w:val="1"/>
          <w:numId w:val="2"/>
        </w:numPr>
        <w:jc w:val="both"/>
        <w:rPr>
          <w:b/>
        </w:rPr>
      </w:pPr>
      <w:r>
        <w:rPr>
          <w:b/>
        </w:rPr>
        <w:t>Non-US Markets</w:t>
      </w:r>
    </w:p>
    <w:p>
      <w:pPr>
        <w:pStyle w:val="Normal"/>
        <w:jc w:val="both"/>
        <w:rPr>
          <w:b/>
        </w:rPr>
      </w:pPr>
      <w:r>
        <w:rPr>
          <w:b/>
        </w:rPr>
      </w:r>
    </w:p>
    <w:p>
      <w:pPr>
        <w:pStyle w:val="Normal"/>
        <w:jc w:val="both"/>
        <w:rPr/>
      </w:pPr>
      <w:r>
        <w:rPr/>
        <w:t>With more than half of all rich developed economies expected to run a budget surplus this year, America is not alone in repaying its long-term debt. This situation has existed in the UK for months. The UK government is issuing hardly any long-term debt due the health of the public finances, whilst pension funds are snapping up as much as they can to satisfy regulatory requirements. The UK yield curve has been severely inverted as a result.</w:t>
      </w:r>
    </w:p>
    <w:p>
      <w:pPr>
        <w:pStyle w:val="Normal"/>
        <w:jc w:val="both"/>
        <w:rPr/>
      </w:pPr>
      <w:r>
        <w:rPr/>
        <w:object w:dxaOrig="6401" w:dyaOrig="384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25.2pt;margin-top:9.8pt;width:351pt;height:189pt;mso-wrap-distance-left:9.05pt;mso-wrap-distance-right:9.05pt;mso-position-horizontal-relative:text;mso-position-vertical-relative:text" filled="f" o:ole="">
            <v:imagedata r:id="rId5" o:title=""/>
            <w10:wrap type="topAndBottom"/>
          </v:shape>
          <o:OLEObject Type="Embed" ProgID="Excel.Sheet.12" ShapeID="ole_rId4" DrawAspect="Content" ObjectID="_509470810" r:id="rId4"/>
        </w:object>
      </w:r>
    </w:p>
    <w:p>
      <w:pPr>
        <w:pStyle w:val="Normal"/>
        <w:jc w:val="both"/>
        <w:rPr/>
      </w:pPr>
      <w:r>
        <w:rPr/>
        <w:t>Most non-US markets do not have a substitute for the riskfree curve as readily available as Fannie Maes and Freddie Macs. Corporate bonds in these markets are also much less liquid than in the US, so the only possible replacement could be the swap market.</w:t>
      </w:r>
    </w:p>
    <w:p>
      <w:pPr>
        <w:pStyle w:val="Normal"/>
        <w:jc w:val="both"/>
        <w:rPr/>
      </w:pPr>
      <w:r>
        <w:rPr/>
      </w:r>
    </w:p>
    <w:p>
      <w:pPr>
        <w:pStyle w:val="Normal"/>
        <w:numPr>
          <w:ilvl w:val="0"/>
          <w:numId w:val="2"/>
        </w:numPr>
        <w:jc w:val="both"/>
        <w:rPr>
          <w:b/>
        </w:rPr>
      </w:pPr>
      <w:r>
        <w:rPr>
          <w:b/>
        </w:rPr>
        <w:t>Conclusions</w:t>
      </w:r>
    </w:p>
    <w:p>
      <w:pPr>
        <w:pStyle w:val="Normal"/>
        <w:jc w:val="both"/>
        <w:rPr>
          <w:b/>
        </w:rPr>
      </w:pPr>
      <w:r>
        <w:rPr>
          <w:b/>
        </w:rPr>
      </w:r>
    </w:p>
    <w:p>
      <w:pPr>
        <w:pStyle w:val="Normal"/>
        <w:jc w:val="both"/>
        <w:rPr/>
      </w:pPr>
      <w:r>
        <w:rPr/>
        <w:t>Whilst there are technical difficulties with assuming Treasuries as the true riskfree rate, it seems clear that these are currently outweighed by the comparative illiquidity and volatility in the agency and corporate debt markets. Treasuries are the best quality, most liquid securities available, and for this reason alone will continue to be used as benchmarks for corporate debt. Liquidity in the agency and corporate markets will improve, however underlying this liquidity is that of the Treasury market. Indirectly most agency or corporate debt is eventually hedged in the Treasury market.</w:t>
      </w:r>
    </w:p>
    <w:p>
      <w:pPr>
        <w:pStyle w:val="Normal"/>
        <w:jc w:val="both"/>
        <w:rPr/>
      </w:pPr>
      <w:r>
        <w:rPr/>
      </w:r>
    </w:p>
    <w:p>
      <w:pPr>
        <w:pStyle w:val="Normal"/>
        <w:jc w:val="both"/>
        <w:rPr/>
      </w:pPr>
      <w:r>
        <w:rPr/>
        <w:t>What we must consider is the relative “scarcity value” currently being attached to certain parts of the Treasury curve. This has been recognised in some recent private issues, which have used Treasuries of different maturities as benchmarks.</w:t>
      </w:r>
      <w:r>
        <w:rPr>
          <w:rStyle w:val="FootnoteCharacters"/>
          <w:rStyle w:val="FootnoteReference"/>
        </w:rPr>
        <w:footnoteReference w:id="2"/>
      </w:r>
      <w:r>
        <w:rPr/>
        <w:t xml:space="preserve"> Some points along the curve are no longer trading on fundamentals, and should ignored or smoothed over. This appears to be the situation at 7, 20 and 30-years. However the premium resulting from recent announcements regarding the Treasury buyback of government debt only exists at the long-end of the curve. Five-year pricing should be relatively untouched by the recent turmoil.</w:t>
      </w:r>
    </w:p>
    <w:p>
      <w:pPr>
        <w:pStyle w:val="Normal"/>
        <w:jc w:val="both"/>
        <w:rPr/>
      </w:pPr>
      <w:r>
        <w:rPr/>
      </w:r>
    </w:p>
    <w:p>
      <w:pPr>
        <w:pStyle w:val="Normal"/>
        <w:jc w:val="both"/>
        <w:rPr/>
      </w:pPr>
      <w:r>
        <w:rPr/>
        <w:t xml:space="preserve">The wide differential between Fannie Mae and Treasury yield curves (see below) indicates that the liquidity component of the credit spread is currently being underestimated. If we concur with the belief that agency bonds are riskfree, then the entire 5-year spread over Treasury must be attributable to liquidity risk. Illiquidity in the agency market creates additional costs, forcing the yield up to compensate investors. As corporate issues are likely to be even less liquid than Fannie Maes, we should clearly be slicing the credit spread into its default and liquidity risk components more significantly. </w:t>
      </w:r>
    </w:p>
    <w:p>
      <w:pPr>
        <w:pStyle w:val="Normal"/>
        <w:jc w:val="both"/>
        <w:rPr/>
      </w:pPr>
      <w:r>
        <w:rPr/>
      </w:r>
      <w:r>
        <w:br w:type="page"/>
      </w:r>
    </w:p>
    <w:p>
      <w:pPr>
        <w:pStyle w:val="Normal"/>
        <w:jc w:val="both"/>
        <w:rPr/>
      </w:pPr>
      <w:r>
        <w:rPr/>
        <w:t>My suggestion is thus to continue with our existing approach of using Treasuries as benchmark riskfree curves, smoothing over the 7, 20 and 30-year points</w:t>
      </w:r>
      <w:r>
        <w:rPr>
          <w:rStyle w:val="FootnoteCharacters"/>
          <w:rStyle w:val="FootnoteReference"/>
        </w:rPr>
        <w:footnoteReference w:id="3"/>
      </w:r>
      <w:r>
        <w:rPr/>
        <w:t>. The spread between riskfree and corporate yield curves should then be decomposed into its pure credit and liquidity components, such that the liquidity spread</w:t>
      </w:r>
      <w:r>
        <w:rPr>
          <w:rStyle w:val="FootnoteCharacters"/>
          <w:rStyle w:val="FootnoteReference"/>
        </w:rPr>
        <w:footnoteReference w:id="4"/>
      </w:r>
      <w:r>
        <w:rPr/>
        <w:t xml:space="preserve"> at least matches the Fannie Mae-Treasury spread. We would then effectively be creating a synthetic riskfree curve with zero liquidity discount, lying above the Fannie Maes and tied to the Treasury curve. As the supply of government debt dwindles, and the private debt markets grow, this choice of benchmark may need to be reappraised. However until such a time, we need to be consistent with what remains the market convention.</w:t>
      </w:r>
    </w:p>
    <w:p>
      <w:pPr>
        <w:pStyle w:val="Normal"/>
        <w:jc w:val="both"/>
        <w:rPr/>
      </w:pPr>
      <w:r>
        <w:rPr/>
        <w:object w:dxaOrig="6401" w:dyaOrig="384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position:absolute;margin-left:25.2pt;margin-top:28.5pt;width:351pt;height:189pt;mso-wrap-distance-left:9.05pt;mso-wrap-distance-right:9.05pt;mso-position-horizontal-relative:text;mso-position-vertical-relative:text" filled="f" o:ole="">
            <v:imagedata r:id="rId7" o:title=""/>
            <w10:wrap type="topAndBottom"/>
          </v:shape>
          <o:OLEObject Type="Embed" ProgID="Excel.Sheet.12" ShapeID="ole_rId6" DrawAspect="Content" ObjectID="_999220596" r:id="rId6"/>
        </w:object>
      </w:r>
    </w:p>
    <w:sectPr>
      <w:headerReference w:type="default" r:id="rId8"/>
      <w:footnotePr>
        <w:numFmt w:val="decimal"/>
      </w:footnotePr>
      <w:type w:val="nextPage"/>
      <w:pgSz w:w="11906" w:h="16838"/>
      <w:pgMar w:left="1800" w:right="1800" w:gutter="0" w:header="720" w:top="1418"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For example, Vodafone AirTouch issued a 30-year bond at a spread above the 10-year Treasury and Fannie Mae issued a 7-year bond with yield attached to the 5-year Treasury bond.</w:t>
      </w:r>
    </w:p>
  </w:footnote>
  <w:footnote w:id="3">
    <w:p>
      <w:pPr>
        <w:pStyle w:val="FootnoteText"/>
        <w:rPr/>
      </w:pPr>
      <w:r>
        <w:rPr>
          <w:rStyle w:val="FootnoteCharacters"/>
        </w:rPr>
        <w:footnoteRef/>
      </w:r>
      <w:r>
        <w:rPr/>
        <w:t xml:space="preserve"> </w:t>
      </w:r>
      <w:r>
        <w:rPr/>
        <w:t>Of course this is irrelevant for 5-year pricing.</w:t>
      </w:r>
    </w:p>
  </w:footnote>
  <w:footnote w:id="4">
    <w:p>
      <w:pPr>
        <w:pStyle w:val="FootnoteText"/>
        <w:rPr/>
      </w:pPr>
      <w:r>
        <w:rPr>
          <w:rStyle w:val="FootnoteCharacters"/>
        </w:rPr>
        <w:footnoteRef/>
      </w:r>
      <w:r>
        <w:rPr/>
        <w:t xml:space="preserve"> </w:t>
      </w:r>
      <w:r>
        <w:rPr/>
        <w:t>The “liquidity spread” could also be interpreted as a “scarcity premium” added to Treasury bonds. Basically it reflects supply-demand imbalances.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4830" cy="5321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544830" cy="532130"/>
                  </a:xfrm>
                  <a:prstGeom prst="rect">
                    <a:avLst/>
                  </a:prstGeom>
                  <a:noFill/>
                </pic:spPr>
              </pic:pic>
            </a:graphicData>
          </a:graphic>
        </wp:inline>
      </w:drawing>
    </w:r>
    <w:r>
      <w:rPr>
        <w:lang w:eastAsia="en-US"/>
      </w:rPr>
      <w:fldChar w:fldCharType="begin"/>
    </w:r>
    <w:r>
      <w:rPr>
        <w:lang w:eastAsia="en-US"/>
      </w:rPr>
      <w:instrText xml:space="preserve"> AUTHOR </w:instrText>
    </w:r>
    <w:r>
      <w:rPr>
        <w:lang w:eastAsia="en-US"/>
      </w:rPr>
      <w:fldChar w:fldCharType="separate"/>
    </w:r>
    <w:r>
      <w:rPr>
        <w:lang w:eastAsia="en-US"/>
      </w:rPr>
      <w:t>Ben Parsons</w:t>
    </w:r>
    <w:r>
      <w:rPr>
        <w:lang w:eastAsia="en-US"/>
      </w:rPr>
      <w:fldChar w:fldCharType="end"/>
    </w:r>
    <w:r>
      <w:rPr>
        <w:lang w:eastAsia="en-US"/>
      </w:rPr>
      <w:tab/>
      <w:t xml:space="preserve">Page </w:t>
    </w:r>
    <w:r>
      <w:rPr>
        <w:lang w:eastAsia="en-US"/>
      </w:rPr>
      <w:fldChar w:fldCharType="begin"/>
    </w:r>
    <w:r>
      <w:rPr>
        <w:lang w:eastAsia="en-US"/>
      </w:rPr>
      <w:instrText xml:space="preserve"> PAGE </w:instrText>
    </w:r>
    <w:r>
      <w:rPr>
        <w:lang w:eastAsia="en-US"/>
      </w:rPr>
      <w:fldChar w:fldCharType="separate"/>
    </w:r>
    <w:r>
      <w:rPr>
        <w:lang w:eastAsia="en-US"/>
      </w:rPr>
      <w:t>4</w:t>
    </w:r>
    <w:r>
      <w:rPr>
        <w:lang w:eastAsia="en-US"/>
      </w:rPr>
      <w:fldChar w:fldCharType="end"/>
    </w:r>
    <w:r>
      <w:rPr>
        <w:lang w:eastAsia="en-US"/>
      </w:rPr>
      <w:tab/>
    </w:r>
    <w:r>
      <w:rPr>
        <w:lang w:eastAsia="en-US"/>
      </w:rPr>
      <w:fldChar w:fldCharType="begin"/>
    </w:r>
    <w:r>
      <w:rPr>
        <w:lang w:eastAsia="en-US"/>
      </w:rPr>
      <w:instrText xml:space="preserve"> DATE \@"dd/MM/yyyy" </w:instrText>
    </w:r>
    <w:r>
      <w:rPr>
        <w:lang w:eastAsia="en-US"/>
      </w:rPr>
      <w:fldChar w:fldCharType="separate"/>
    </w:r>
    <w:r>
      <w:rPr>
        <w:lang w:eastAsia="en-US"/>
      </w:rPr>
      <w:t>28/09/2025</w:t>
    </w:r>
    <w:r>
      <w:rPr>
        <w:lang w:eastAsia="en-US"/>
      </w:rPr>
      <w:fldChar w:fldCharType="end"/>
    </w: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b/>
      </w:rPr>
    </w:lvl>
    <w:lvl w:ilvl="1">
      <w:start w:val="1"/>
      <w:isLgl/>
      <w:numFmt w:val="decimal"/>
      <w:lvlText w:val="%1.%2."/>
      <w:lvlJc w:val="start"/>
      <w:pPr>
        <w:tabs>
          <w:tab w:val="num" w:pos="360"/>
        </w:tabs>
        <w:ind w:start="360" w:hanging="360"/>
      </w:pPr>
      <w:rPr/>
    </w:lvl>
    <w:lvl w:ilvl="2">
      <w:start w:val="1"/>
      <w:isLgl/>
      <w:numFmt w:val="decimal"/>
      <w:lvlText w:val="%1.%2.%3."/>
      <w:lvlJc w:val="start"/>
      <w:pPr>
        <w:tabs>
          <w:tab w:val="num" w:pos="720"/>
        </w:tabs>
        <w:ind w:start="720" w:hanging="720"/>
      </w:pPr>
      <w:rPr/>
    </w:lvl>
    <w:lvl w:ilvl="3">
      <w:start w:val="1"/>
      <w:isLgl/>
      <w:numFmt w:val="decimal"/>
      <w:lvlText w:val="%1.%2.%3.%4."/>
      <w:lvlJc w:val="start"/>
      <w:pPr>
        <w:tabs>
          <w:tab w:val="num" w:pos="720"/>
        </w:tabs>
        <w:ind w:start="720" w:hanging="720"/>
      </w:pPr>
      <w:rPr/>
    </w:lvl>
    <w:lvl w:ilvl="4">
      <w:start w:val="1"/>
      <w:isLgl/>
      <w:numFmt w:val="decimal"/>
      <w:lvlText w:val="%1.%2.%3.%4.%5."/>
      <w:lvlJc w:val="start"/>
      <w:pPr>
        <w:tabs>
          <w:tab w:val="num" w:pos="1080"/>
        </w:tabs>
        <w:ind w:start="1080" w:hanging="1080"/>
      </w:pPr>
      <w:rPr/>
    </w:lvl>
    <w:lvl w:ilvl="5">
      <w:start w:val="1"/>
      <w:isLgl/>
      <w:numFmt w:val="decimal"/>
      <w:lvlText w:val="%1.%2.%3.%4.%5.%6."/>
      <w:lvlJc w:val="start"/>
      <w:pPr>
        <w:tabs>
          <w:tab w:val="num" w:pos="1080"/>
        </w:tabs>
        <w:ind w:start="1080" w:hanging="1080"/>
      </w:pPr>
      <w:rPr/>
    </w:lvl>
    <w:lvl w:ilvl="6">
      <w:start w:val="1"/>
      <w:isLgl/>
      <w:numFmt w:val="decimal"/>
      <w:lvlText w:val="%1.%2.%3.%4.%5.%6.%7."/>
      <w:lvlJc w:val="start"/>
      <w:pPr>
        <w:tabs>
          <w:tab w:val="num" w:pos="1080"/>
        </w:tabs>
        <w:ind w:start="1080" w:hanging="1080"/>
      </w:pPr>
      <w:rPr/>
    </w:lvl>
    <w:lvl w:ilvl="7">
      <w:start w:val="1"/>
      <w:isLgl/>
      <w:numFmt w:val="decimal"/>
      <w:lvlText w:val="%1.%2.%3.%4.%5.%6.%7.%8."/>
      <w:lvlJc w:val="start"/>
      <w:pPr>
        <w:tabs>
          <w:tab w:val="num" w:pos="1440"/>
        </w:tabs>
        <w:ind w:start="1440" w:hanging="1440"/>
      </w:pPr>
      <w:rPr/>
    </w:lvl>
    <w:lvl w:ilvl="8">
      <w:start w:val="1"/>
      <w:isLgl/>
      <w:numFmt w:val="decimal"/>
      <w:lvlText w:val="%1.%2.%3.%4.%5.%6.%7.%8.%9."/>
      <w:lvlJc w:val="start"/>
      <w:pPr>
        <w:tabs>
          <w:tab w:val="num" w:pos="1440"/>
        </w:tabs>
        <w:ind w:start="1440" w:hanging="144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outlineLvl w:val="1"/>
    </w:pPr>
    <w:rPr>
      <w:b/>
      <w:i/>
    </w:rPr>
  </w:style>
  <w:style w:type="character" w:styleId="WW8Num1z0">
    <w:name w:val="WW8Num1z0"/>
    <w:qFormat/>
    <w:rPr>
      <w:b/>
    </w:rPr>
  </w:style>
  <w:style w:type="character" w:styleId="WW8Num1z1">
    <w:name w:val="WW8Num1z1"/>
    <w:qFormat/>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package" Target="embeddings/oleObject3.xlsx"/><Relationship Id="rId7" Type="http://schemas.openxmlformats.org/officeDocument/2006/relationships/image" Target="media/image3.wmf"/><Relationship Id="rId8" Type="http://schemas.openxmlformats.org/officeDocument/2006/relationships/header" Target="header1.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BSP.dot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2000-03-13T17:00:00Z</dcterms:created>
  <dc:creator>Ben Parsons</dc:creator>
  <dc:description/>
  <dc:language>en-CA</dc:language>
  <cp:lastModifiedBy>BParsons</cp:lastModifiedBy>
  <cp:lastPrinted>2000-03-13T18:49:00Z</cp:lastPrinted>
  <dcterms:modified xsi:type="dcterms:W3CDTF">2000-03-13T17:00:00Z</dcterms:modified>
  <cp:revision>2</cp:revision>
  <dc:subject/>
  <dc:title>CHOOSING THE RISKFREE BENCHMARK FOR CREDIT PRICING</dc:title>
</cp:coreProperties>
</file>