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wmf" ContentType="image/x-wmf"/>
  <Override PartName="/word/styles.xml" ContentType="application/vnd.openxmlformats-officedocument.wordprocessingml.styles+xml"/>
  <Override PartName="/word/embeddings/oleObject1.bin" ContentType="application/vnd.openxmlformats-officedocument.oleObject"/>
  <Override PartName="/word/embeddings/oleObject2.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3"/>
          <w:lang w:val="en-CA"/>
        </w:rPr>
      </w:pPr>
      <w:r>
        <w:rPr>
          <w:sz w:val="23"/>
          <w:lang w:val="en-CA"/>
        </w:rPr>
      </w:r>
      <w:r>
        <mc:AlternateContent>
          <mc:Choice Requires="wps">
            <w:drawing>
              <wp:anchor behindDoc="0" distT="0" distB="0" distL="114935" distR="114935" simplePos="0" locked="0" layoutInCell="1" allowOverlap="1" relativeHeight="7">
                <wp:simplePos x="0" y="0"/>
                <wp:positionH relativeFrom="column">
                  <wp:posOffset>0</wp:posOffset>
                </wp:positionH>
                <wp:positionV relativeFrom="paragraph">
                  <wp:posOffset>-548640</wp:posOffset>
                </wp:positionV>
                <wp:extent cx="2011680" cy="548640"/>
                <wp:effectExtent l="0" t="0" r="0" b="0"/>
                <wp:wrapNone/>
                <wp:docPr id="1" name="Frame1"/>
                <a:graphic xmlns:a="http://schemas.openxmlformats.org/drawingml/2006/main">
                  <a:graphicData uri="http://schemas.microsoft.com/office/word/2010/wordprocessingShape">
                    <wps:wsp>
                      <wps:cNvSpPr txBox="1"/>
                      <wps:spPr>
                        <a:xfrm>
                          <a:off x="0" y="0"/>
                          <a:ext cx="2011680" cy="548640"/>
                        </a:xfrm>
                        <a:prstGeom prst="rect"/>
                        <a:solidFill>
                          <a:srgbClr val="FFFFFF">
                            <a:alpha val="0"/>
                          </a:srgbClr>
                        </a:solidFill>
                      </wps:spPr>
                      <wps:txbx>
                        <w:txbxContent>
                          <w:p>
                            <w:pPr>
                              <w:pStyle w:val="Normal"/>
                              <w:rPr>
                                <w:sz w:val="20"/>
                              </w:rPr>
                            </w:pPr>
                            <w:r>
                              <w:rPr>
                                <w:sz w:val="20"/>
                              </w:rPr>
                              <w:object w:dxaOrig="12002" w:dyaOrig="403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56pt;height:42.35pt" filled="f" o:ole="">
                                  <v:imagedata r:id="rId3" o:title=""/>
                                </v:shape>
                                <o:OLEObject Type="Embed" ProgID="" ShapeID="ole_rId2" DrawAspect="Content" ObjectID="_960984826" r:id="rId2"/>
                              </w:object>
                            </w:r>
                          </w:p>
                        </w:txbxContent>
                      </wps:txbx>
                      <wps:bodyPr anchor="t" lIns="635" tIns="635" rIns="635" bIns="635">
                        <a:noAutofit/>
                      </wps:bodyPr>
                    </wps:wsp>
                  </a:graphicData>
                </a:graphic>
              </wp:anchor>
            </w:drawing>
          </mc:Choice>
          <mc:Fallback>
            <w:pict>
              <v:rect fillcolor="#FFFFFF" style="position:absolute;rotation:-0;width:158.4pt;height:43.2pt;mso-wrap-distance-left:9.05pt;mso-wrap-distance-right:9.05pt;mso-wrap-distance-top:0pt;mso-wrap-distance-bottom:0pt;margin-top:-43.2pt;mso-position-vertical-relative:text;margin-left:0pt;mso-position-horizontal-relative:text">
                <v:fill opacity="0f"/>
                <v:textbox inset="0.000694444444444445in,0.000694444444444445in,0.000694444444444445in,0.000694444444444445in">
                  <w:txbxContent>
                    <w:p>
                      <w:pPr>
                        <w:pStyle w:val="Normal"/>
                        <w:rPr>
                          <w:sz w:val="20"/>
                        </w:rPr>
                      </w:pPr>
                      <w:r>
                        <w:rPr>
                          <w:sz w:val="20"/>
                        </w:rPr>
                        <w:object w:dxaOrig="12002" w:dyaOrig="4034">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56pt;height:42.35pt" filled="f" o:ole="">
                            <v:imagedata r:id="rId5" o:title=""/>
                          </v:shape>
                          <o:OLEObject Type="Embed" ProgID="" ShapeID="ole_rId4" DrawAspect="Content" ObjectID="_877488629" r:id="rId4"/>
                        </w:object>
                      </w:r>
                    </w:p>
                  </w:txbxContent>
                </v:textbox>
                <w10:wrap type="none"/>
              </v:rect>
            </w:pict>
          </mc:Fallback>
        </mc:AlternateContent>
      </w:r>
    </w:p>
    <w:p>
      <w:pPr>
        <w:pStyle w:val="Normal"/>
        <w:pBdr>
          <w:top w:val="single" w:sz="18" w:space="0" w:color="000000"/>
        </w:pBdr>
        <w:jc w:val="both"/>
        <w:rPr>
          <w:shadow/>
          <w:sz w:val="23"/>
        </w:rPr>
      </w:pPr>
      <w:r>
        <w:rPr>
          <w:shadow/>
          <w:sz w:val="23"/>
        </w:rPr>
      </w:r>
    </w:p>
    <w:p>
      <w:pPr>
        <w:pStyle w:val="Normal"/>
        <w:jc w:val="center"/>
        <w:rPr>
          <w:smallCaps/>
          <w:shadow/>
          <w:sz w:val="36"/>
        </w:rPr>
      </w:pPr>
      <w:r>
        <w:rPr>
          <w:smallCaps/>
          <w:shadow/>
          <w:sz w:val="36"/>
        </w:rPr>
        <w:t>Chiquita Brands International, Inc., a global leader in banana production, agrees to cease-and-desist from violating the FCPA</w:t>
      </w:r>
    </w:p>
    <w:p>
      <w:pPr>
        <w:pStyle w:val="Normal"/>
        <w:jc w:val="both"/>
        <w:rPr>
          <w:smallCaps/>
          <w:shadow/>
          <w:sz w:val="23"/>
        </w:rPr>
      </w:pPr>
      <w:r>
        <w:rPr>
          <w:smallCaps/>
          <w:shadow/>
          <w:sz w:val="23"/>
        </w:rPr>
      </w:r>
    </w:p>
    <w:p>
      <w:pPr>
        <w:pStyle w:val="Normal"/>
        <w:jc w:val="center"/>
        <w:rPr>
          <w:shadow/>
          <w:sz w:val="23"/>
        </w:rPr>
      </w:pPr>
      <w:r>
        <w:rPr>
          <w:i/>
          <w:shadow/>
          <w:sz w:val="23"/>
        </w:rPr>
        <w:t>October 2001</w:t>
      </w:r>
    </w:p>
    <w:p>
      <w:pPr>
        <w:pStyle w:val="Normal"/>
        <w:pBdr>
          <w:top w:val="single" w:sz="18" w:space="1" w:color="000000"/>
        </w:pBdr>
        <w:jc w:val="both"/>
        <w:rPr>
          <w:shadow/>
          <w:sz w:val="23"/>
        </w:rPr>
      </w:pPr>
      <w:r>
        <w:rPr>
          <w:shadow/>
          <w:sz w:val="23"/>
        </w:rPr>
      </w:r>
    </w:p>
    <w:p>
      <w:pPr>
        <w:pStyle w:val="SingleHanging"/>
        <w:spacing w:before="0" w:after="0"/>
        <w:ind w:hanging="0" w:start="0" w:end="0"/>
        <w:jc w:val="both"/>
        <w:rPr/>
      </w:pPr>
      <w:r>
        <w:rPr>
          <w:sz w:val="23"/>
        </w:rPr>
        <w:tab/>
      </w:r>
      <w:r>
        <w:rPr>
          <w:b/>
        </w:rPr>
        <w:t>I.</w:t>
        <w:tab/>
        <w:t>Introduction</w:t>
      </w:r>
    </w:p>
    <w:p>
      <w:pPr>
        <w:pStyle w:val="SingleHanging"/>
        <w:spacing w:before="0" w:after="0"/>
        <w:ind w:hanging="0" w:start="0" w:end="0"/>
        <w:jc w:val="both"/>
        <w:rPr>
          <w:sz w:val="23"/>
        </w:rPr>
      </w:pPr>
      <w:r>
        <w:rPr>
          <w:sz w:val="23"/>
        </w:rPr>
        <w:tab/>
        <w:tab/>
      </w:r>
    </w:p>
    <w:p>
      <w:pPr>
        <w:pStyle w:val="SingleHanging"/>
        <w:spacing w:before="0" w:after="0"/>
        <w:ind w:hanging="0" w:start="0" w:end="0"/>
        <w:jc w:val="both"/>
        <w:rPr/>
      </w:pPr>
      <w:r>
        <w:rPr>
          <w:sz w:val="23"/>
        </w:rPr>
        <w:tab/>
        <w:t>Recent activity by the Securities and Exchange Commission (“SEC” or “Commission”) with regard to the Foreign Corrupt Practices Act (“FCPA” or “Act”) reinforces the increasingly important role that the Act plays in international business.  After remaining dormant for several years, once again the SEC has an active FCPA program, driven by the willingness to investigate and litigate difficult cases.  Just in the past twelve months, the SEC has brought FCPA enforcement actions against Baker Hughes, Inc., IBM Corp., and American Bank Note Holographic, Inc.  In addition, in early October of this year, Chiquita Brands International, Inc. (“Chiquita” or “Company”), consented to a cease-and-desist order with the SEC prohibiting future violations of the books and records and internal controls provisions of the Securities and Exchange Act of 1934, as amended by the FCPA.</w:t>
      </w:r>
      <w:r>
        <w:rPr>
          <w:rStyle w:val="FootnoteCharacters"/>
          <w:rStyle w:val="FootnoteReference"/>
          <w:sz w:val="23"/>
        </w:rPr>
        <w:footnoteReference w:id="2"/>
      </w:r>
      <w:r>
        <w:rPr>
          <w:sz w:val="23"/>
        </w:rPr>
        <w:t xml:space="preserve">  Chiquita also agreed to pay a $100,000 civil penalty in a separate settled action filed in federal court.</w:t>
      </w:r>
      <w:r>
        <w:rPr>
          <w:rStyle w:val="FootnoteCharacters"/>
          <w:rStyle w:val="FootnoteReference"/>
          <w:sz w:val="23"/>
        </w:rPr>
        <w:footnoteReference w:id="3"/>
      </w:r>
      <w:r>
        <w:rPr>
          <w:sz w:val="23"/>
        </w:rPr>
        <w:t xml:space="preserve">  The SEC based its action against Chiquita on the conduct of the Company’s indirect wholly-owned subsidiary, Banadex, despite the fact that Chiquita did not authorize Banadex’s improper conduct, nor did it have knowledge of such impropriety when it occurred.  Unfortunately for Chiquita, the compliance system that it had in place proved inadequate.  </w:t>
      </w:r>
    </w:p>
    <w:p>
      <w:pPr>
        <w:pStyle w:val="SingleHanging"/>
        <w:spacing w:before="0" w:after="0"/>
        <w:ind w:hanging="0" w:start="0" w:end="0"/>
        <w:jc w:val="both"/>
        <w:rPr>
          <w:sz w:val="23"/>
        </w:rPr>
      </w:pPr>
      <w:r>
        <w:rPr>
          <w:sz w:val="23"/>
        </w:rPr>
      </w:r>
    </w:p>
    <w:p>
      <w:pPr>
        <w:pStyle w:val="SingleHanging"/>
        <w:spacing w:before="0" w:after="0"/>
        <w:ind w:hanging="0" w:start="0" w:end="0"/>
        <w:jc w:val="both"/>
        <w:rPr/>
      </w:pPr>
      <w:r>
        <w:rPr>
          <w:sz w:val="23"/>
        </w:rPr>
        <w:tab/>
      </w:r>
      <w:r>
        <w:rPr>
          <w:b/>
        </w:rPr>
        <w:t>II.</w:t>
        <w:tab/>
        <w:t>Overview of the FCPA</w:t>
        <w:tab/>
      </w:r>
    </w:p>
    <w:p>
      <w:pPr>
        <w:pStyle w:val="SingleHanging"/>
        <w:spacing w:before="0" w:after="0"/>
        <w:ind w:hanging="0" w:start="0" w:end="0"/>
        <w:jc w:val="both"/>
        <w:rPr>
          <w:b/>
          <w:sz w:val="23"/>
        </w:rPr>
      </w:pPr>
      <w:r>
        <w:rPr>
          <w:b/>
          <w:sz w:val="23"/>
        </w:rPr>
      </w:r>
    </w:p>
    <w:p>
      <w:pPr>
        <w:pStyle w:val="Normal"/>
        <w:jc w:val="both"/>
        <w:rPr/>
      </w:pPr>
      <w:r>
        <w:rPr>
          <w:rFonts w:cs="CG Omega" w:ascii="CG Omega" w:hAnsi="CG Omega"/>
          <w:b/>
          <w:sz w:val="23"/>
        </w:rPr>
        <w:tab/>
      </w:r>
      <w:r>
        <w:rPr>
          <w:rFonts w:cs="CG Omega" w:ascii="CG Omega" w:hAnsi="CG Omega"/>
          <w:sz w:val="23"/>
        </w:rPr>
        <w:t>The FCPA is enforced jointly by the SEC and the Department of Justice (“DOJ”).  The FCPA consists of two parts:  the antibribery provisions and the record keeping and accounting provisions</w:t>
      </w:r>
      <w:r>
        <w:rPr>
          <w:rFonts w:cs="CG Omega" w:ascii="CG Omega" w:hAnsi="CG Omega"/>
          <w:color w:val="000000"/>
          <w:sz w:val="23"/>
        </w:rPr>
        <w:t xml:space="preserve">.  A violation of either of these provisions carries potential criminal and civil penalties.    </w:t>
      </w:r>
    </w:p>
    <w:p>
      <w:pPr>
        <w:pStyle w:val="Normal"/>
        <w:jc w:val="both"/>
        <w:rPr/>
      </w:pPr>
      <w:r>
        <w:rPr>
          <w:rFonts w:cs="CG Omega" w:ascii="CG Omega" w:hAnsi="CG Omega"/>
          <w:color w:val="000000"/>
          <w:sz w:val="23"/>
        </w:rPr>
        <w:tab/>
      </w:r>
      <w:r>
        <w:rPr>
          <w:rFonts w:cs="CG Omega" w:ascii="CG Omega" w:hAnsi="CG Omega"/>
          <w:color w:val="000000"/>
          <w:sz w:val="23"/>
          <w:u w:val="single"/>
        </w:rPr>
        <w:t>Antibribery provisions</w:t>
      </w:r>
      <w:r>
        <w:rPr>
          <w:rFonts w:cs="CG Omega" w:ascii="CG Omega" w:hAnsi="CG Omega"/>
          <w:color w:val="000000"/>
          <w:sz w:val="23"/>
        </w:rPr>
        <w:t>: The FCPA’s antibribery provisions prohibit the direct or indirect payment by any covered person</w:t>
      </w:r>
      <w:r>
        <w:rPr>
          <w:rStyle w:val="FootnoteCharacters"/>
          <w:rStyle w:val="FootnoteReference"/>
          <w:rFonts w:cs="CG Omega" w:ascii="CG Omega" w:hAnsi="CG Omega"/>
          <w:color w:val="000000"/>
          <w:sz w:val="23"/>
        </w:rPr>
        <w:footnoteReference w:id="4"/>
      </w:r>
      <w:r>
        <w:rPr>
          <w:rFonts w:cs="CG Omega" w:ascii="CG Omega" w:hAnsi="CG Omega"/>
          <w:color w:val="000000"/>
          <w:sz w:val="23"/>
        </w:rPr>
        <w:t xml:space="preserve"> of money or anything of value to employees or officials of a foreign government, public international organization or political party, or to any other person, while knowing that all or a portion of such money or thing of value will be offered for the purpose of influencing or inducing one of the above to do or refrain from doing any act, in order to assist the covered person in obtaining or retaining business or securing any improper advantage.</w:t>
      </w:r>
      <w:r>
        <w:rPr>
          <w:rStyle w:val="FootnoteCharacters"/>
          <w:rStyle w:val="FootnoteReference"/>
          <w:rFonts w:cs="CG Omega" w:ascii="CG Omega" w:hAnsi="CG Omega"/>
          <w:color w:val="000000"/>
          <w:sz w:val="23"/>
        </w:rPr>
        <w:footnoteReference w:id="5"/>
      </w:r>
      <w:r>
        <w:rPr>
          <w:rFonts w:cs="CG Omega" w:ascii="CG Omega" w:hAnsi="CG Omega"/>
          <w:color w:val="000000"/>
          <w:sz w:val="23"/>
        </w:rPr>
        <w:t xml:space="preserve">  </w:t>
      </w:r>
    </w:p>
    <w:p>
      <w:pPr>
        <w:pStyle w:val="Normal"/>
        <w:jc w:val="both"/>
        <w:rPr/>
      </w:pPr>
      <w:r>
        <w:rPr>
          <w:rFonts w:cs="CG Omega" w:ascii="CG Omega" w:hAnsi="CG Omega"/>
          <w:color w:val="000000"/>
          <w:sz w:val="23"/>
        </w:rPr>
        <w:tab/>
      </w:r>
      <w:r>
        <w:rPr>
          <w:rFonts w:cs="CG Omega" w:ascii="CG Omega" w:hAnsi="CG Omega"/>
          <w:color w:val="000000"/>
          <w:sz w:val="23"/>
          <w:u w:val="single"/>
        </w:rPr>
        <w:t>Record keeping and accounting provisions</w:t>
      </w:r>
      <w:r>
        <w:rPr>
          <w:rFonts w:cs="CG Omega" w:ascii="CG Omega" w:hAnsi="CG Omega"/>
          <w:color w:val="000000"/>
          <w:sz w:val="23"/>
        </w:rPr>
        <w:t xml:space="preserve">:  The FCPA record keeping and accounting provisions, not the antibribery provisions, were actually at issue in </w:t>
      </w:r>
      <w:r>
        <w:rPr>
          <w:rFonts w:cs="CG Omega" w:ascii="CG Omega" w:hAnsi="CG Omega"/>
          <w:color w:val="000000"/>
          <w:sz w:val="23"/>
          <w:u w:val="single"/>
        </w:rPr>
        <w:t>Chiquita</w:t>
      </w:r>
      <w:r>
        <w:rPr>
          <w:rFonts w:cs="CG Omega" w:ascii="CG Omega" w:hAnsi="CG Omega"/>
          <w:color w:val="000000"/>
          <w:sz w:val="23"/>
        </w:rPr>
        <w:t xml:space="preserve">.  These provisions require (1) that books, records and accounts are kept in reasonable detail to accurately and fairly reflect transactions and dispositions of assets, and (2) that a system of internal accounting controls is devised (a) to provide reasonable assurances that transactions are executed in accordance with management’s authorization; (b) to ensure that assets are recorded as necessary to permit preparation of financial statements and to maintain accountability for assets; (c) to limit access to assets to management’s authorization; and (d) to make certain that recorded accountability for assets is compared with the existing assets at reasonable intervals and appropriate action is taken with respect to any differences. </w:t>
      </w:r>
      <w:r>
        <w:rPr>
          <w:rStyle w:val="FootnoteCharacters"/>
          <w:rStyle w:val="FootnoteReference"/>
          <w:rFonts w:cs="CG Omega" w:ascii="CG Omega" w:hAnsi="CG Omega"/>
          <w:color w:val="000000"/>
          <w:sz w:val="23"/>
        </w:rPr>
        <w:footnoteReference w:id="6"/>
      </w:r>
      <w:r>
        <w:rPr>
          <w:rFonts w:cs="CG Omega" w:ascii="CG Omega" w:hAnsi="CG Omega"/>
          <w:color w:val="000000"/>
          <w:sz w:val="23"/>
        </w:rPr>
        <w:t xml:space="preserve">  Note that the accounting provisions apply only to issuers that have securities registered with the SEC pursuant to the Securities Exchange Act of 1934 (essentially, all publicly-held companies in the U.S., and any foreign companies listed on the U.S. stock markets).  </w:t>
      </w:r>
    </w:p>
    <w:p>
      <w:pPr>
        <w:pStyle w:val="Normal"/>
        <w:jc w:val="both"/>
        <w:rPr/>
      </w:pPr>
      <w:r>
        <w:rPr>
          <w:rFonts w:cs="CG Omega" w:ascii="CG Omega" w:hAnsi="CG Omega"/>
          <w:color w:val="000000"/>
          <w:sz w:val="23"/>
        </w:rPr>
        <w:tab/>
        <w:t>If the DOJ brings criminal charges against a company any intentional misrecording of a payment is a violation, so the prosecutor does not have to prove that the payment was a bribe.</w:t>
      </w:r>
      <w:r>
        <w:rPr>
          <w:rStyle w:val="FootnoteCharacters"/>
          <w:rStyle w:val="FootnoteReference"/>
          <w:rFonts w:cs="CG Omega" w:ascii="CG Omega" w:hAnsi="CG Omega"/>
          <w:color w:val="000000"/>
          <w:sz w:val="23"/>
        </w:rPr>
        <w:footnoteReference w:id="7"/>
      </w:r>
      <w:r>
        <w:rPr>
          <w:rFonts w:cs="CG Omega" w:ascii="CG Omega" w:hAnsi="CG Omega"/>
          <w:color w:val="000000"/>
          <w:sz w:val="23"/>
        </w:rPr>
        <w:t xml:space="preserve">  In addition, failure to describe what actually occurred is a potential violation.  For example recording a payment for legal commission on a project in the books as “equipment repair” could be a violation.  Individuals who willfully violate these provisions may be fined up to $1,000,000, imprisoned up to ten years, or both.  A corporation or other business entity may be fined up to $2,500,000, or alternatively, up to twice the amount of any pecuniary gain or loss resulting from violation of accounting provisions.</w:t>
      </w:r>
    </w:p>
    <w:p>
      <w:pPr>
        <w:pStyle w:val="PlainText"/>
        <w:rPr/>
      </w:pPr>
      <w:r>
        <w:rPr/>
        <w:tab/>
      </w:r>
    </w:p>
    <w:p>
      <w:pPr>
        <w:pStyle w:val="BodyText4"/>
        <w:jc w:val="both"/>
        <w:rPr/>
      </w:pPr>
      <w:r>
        <w:rPr>
          <w:rFonts w:cs="CG Omega" w:ascii="CG Omega" w:hAnsi="CG Omega"/>
          <w:sz w:val="23"/>
        </w:rPr>
        <w:tab/>
      </w:r>
      <w:r>
        <w:rPr>
          <w:rFonts w:cs="CG Omega" w:ascii="CG Omega" w:hAnsi="CG Omega"/>
          <w:b/>
        </w:rPr>
        <w:t>III.</w:t>
        <w:tab/>
        <w:t>Chiquita’s Alleged Violation of the FCPA</w:t>
      </w:r>
    </w:p>
    <w:p>
      <w:pPr>
        <w:pStyle w:val="PlainText"/>
        <w:jc w:val="both"/>
        <w:rPr>
          <w:rFonts w:ascii="CG Omega" w:hAnsi="CG Omega" w:cs="CG Omega"/>
          <w:sz w:val="23"/>
        </w:rPr>
      </w:pPr>
      <w:r>
        <w:rPr>
          <w:rFonts w:cs="CG Omega" w:ascii="CG Omega" w:hAnsi="CG Omega"/>
          <w:sz w:val="23"/>
        </w:rPr>
        <w:tab/>
        <w:t xml:space="preserve">The story as alleged by the Commission in its complaint against Chiquita is relatively simple.  The SEC’s enforcement action arose out of the conduct of Banadex, a wholly-owned subsidiary of Chiquita, located in Colombia.  Chiquita’s Colombian operations included a number of banana farms and an import/export facility located in Turbo, owned and operated by Banadex.  In 1993 the Colombian government began to license the Turbo facility as a location where goods could be stored while awaiting inspection by customs officials.  The Colombian government then issued a decree in 1995 that required Banadex to submit license renewal applications.  Banadex learned of the decree through Comercio Exterior Asesores Limitada (“CEA”), a Colombian entity licensed by the Colombian government to act as an intermediary between corporations and Colombian customs officials.   </w:t>
      </w:r>
    </w:p>
    <w:p>
      <w:pPr>
        <w:pStyle w:val="PlainText"/>
        <w:jc w:val="both"/>
        <w:rPr>
          <w:rFonts w:ascii="CG Omega" w:hAnsi="CG Omega" w:cs="CG Omega"/>
          <w:sz w:val="23"/>
        </w:rPr>
      </w:pPr>
      <w:r>
        <w:rPr>
          <w:rFonts w:cs="CG Omega" w:ascii="CG Omega" w:hAnsi="CG Omega"/>
          <w:sz w:val="23"/>
        </w:rPr>
        <w:tab/>
        <w:t xml:space="preserve">Banadex employees informed management that renewal of the Turbo facility’s customs license was in jeopardy because of two previous citations for failure to comply with Colombian customs regulations.  Banadex management was also aware that replacing the facility would cost approximately $1 million.  Without the consent of any Chiquita employees within the U.S. and in violation of Chiquita’s policies, Banadex’s chief administrative officer authorized the payment of the equivalent of approximately $30,000, paid in two installments to local customs officials to obtain renewal of the license.  A Banadex security officer paid these installments from a Banadex account used for discretionary expenses.  Banadex employees recorded the first installment in the company’s books and records incorrectly as a maritime donation and the second installment was also recorded inaccurately as relating to a maritime agreement.  </w:t>
      </w:r>
    </w:p>
    <w:p>
      <w:pPr>
        <w:pStyle w:val="PlainText"/>
        <w:jc w:val="both"/>
        <w:rPr/>
      </w:pPr>
      <w:r>
        <w:rPr>
          <w:rFonts w:cs="CG Omega" w:ascii="CG Omega" w:hAnsi="CG Omega"/>
          <w:sz w:val="23"/>
        </w:rPr>
        <w:tab/>
        <w:t xml:space="preserve">Chiquita’s policies and procedures contain strict guidelines regarding the use of a discretionary expenses account, and Banadex did not comply with Chiquita’s procedure requiring that Banadex’s books and records accurately reflect the transaction.  Chiquita, however, was aware from audits conducted by its internal auditors that its Colombian records were problematic.  In 1997, its auditors discovered the $30,000 payment while conducting an audit interview.  Chiquita conducted an internal investigation and took corrective action, which included the termination of the responsible Banadex employees and the reinforcement of internal controls at its Colombian operations.  These facts first came to light in a May 7, 1998, Newspaper Article in </w:t>
      </w:r>
      <w:r>
        <w:rPr>
          <w:rFonts w:cs="CG Omega" w:ascii="CG Omega" w:hAnsi="CG Omega"/>
          <w:i/>
          <w:sz w:val="23"/>
        </w:rPr>
        <w:t>The Cincinnati Enquirer.</w:t>
      </w:r>
    </w:p>
    <w:p>
      <w:pPr>
        <w:pStyle w:val="PlainText"/>
        <w:jc w:val="both"/>
        <w:rPr>
          <w:rFonts w:ascii="CG Omega" w:hAnsi="CG Omega" w:cs="CG Omega"/>
          <w:sz w:val="23"/>
        </w:rPr>
      </w:pPr>
      <w:r>
        <w:rPr>
          <w:rFonts w:cs="CG Omega" w:ascii="CG Omega" w:hAnsi="CG Omega"/>
          <w:sz w:val="23"/>
        </w:rPr>
        <w:tab/>
        <w:t>Ultimately, the SEC alleged that Banadex’s inaccurate entries constituted a violation by Chiquita of the FCPA’s books and records provisions.  The SEC further alleged that Chiquita violated the FCPA’s internal accounting controls provisions by failing to ensure that Banadex’s books and records accurately and fairly reflected the disposition of assets.</w:t>
      </w:r>
    </w:p>
    <w:p>
      <w:pPr>
        <w:pStyle w:val="PlainText"/>
        <w:jc w:val="both"/>
        <w:rPr>
          <w:rFonts w:ascii="CG Omega" w:hAnsi="CG Omega" w:cs="CG Omega"/>
          <w:sz w:val="23"/>
        </w:rPr>
      </w:pPr>
      <w:r>
        <w:rPr>
          <w:rFonts w:cs="CG Omega" w:ascii="CG Omega" w:hAnsi="CG Omega"/>
          <w:sz w:val="23"/>
        </w:rPr>
        <w:tab/>
        <w:t xml:space="preserve">Chiquita consented to a cease-and-desist order with the SEC.  The order found that Chiquita violated the FCPA’s books and records and internal controls provisions as a result of the conduct of its Colombian subsidiary.  Under the terms of the order the company agreed to cease-and-desist from committing or causing any violation of Section 13(b)(2)(A) and (B), of the Securities and Exchange Act of 1934, as amended by the FCPA.  The SEC also filed a settled complaint in federal court seeking entry of a consent order requiring Chiquita to pay a $100,000 civil penalty. Chiquita settled the action without admitting or denying the Commission’s allegations.    </w:t>
      </w:r>
    </w:p>
    <w:p>
      <w:pPr>
        <w:pStyle w:val="PlainText"/>
        <w:rPr>
          <w:rFonts w:ascii="CG Omega" w:hAnsi="CG Omega" w:cs="CG Omega"/>
          <w:sz w:val="23"/>
        </w:rPr>
      </w:pPr>
      <w:r>
        <w:rPr>
          <w:rFonts w:cs="CG Omega" w:ascii="CG Omega" w:hAnsi="CG Omega"/>
          <w:sz w:val="23"/>
        </w:rPr>
      </w:r>
    </w:p>
    <w:p>
      <w:pPr>
        <w:pStyle w:val="PlainText"/>
        <w:jc w:val="both"/>
        <w:rPr/>
      </w:pPr>
      <w:r>
        <w:rPr>
          <w:rFonts w:cs="CG Omega" w:ascii="CG Omega" w:hAnsi="CG Omega"/>
          <w:sz w:val="23"/>
        </w:rPr>
        <w:tab/>
      </w:r>
      <w:r>
        <w:rPr>
          <w:rFonts w:cs="CG Omega" w:ascii="CG Omega" w:hAnsi="CG Omega"/>
          <w:b/>
          <w:sz w:val="24"/>
        </w:rPr>
        <w:t>IV.</w:t>
        <w:tab/>
        <w:t>Foley &amp; Lardner Recommendations</w:t>
      </w:r>
    </w:p>
    <w:p>
      <w:pPr>
        <w:pStyle w:val="PlainText"/>
        <w:jc w:val="both"/>
        <w:rPr>
          <w:rFonts w:ascii="CG Omega" w:hAnsi="CG Omega" w:cs="CG Omega"/>
          <w:b/>
          <w:sz w:val="23"/>
        </w:rPr>
      </w:pPr>
      <w:r>
        <w:rPr>
          <w:rFonts w:cs="CG Omega" w:ascii="CG Omega" w:hAnsi="CG Omega"/>
          <w:b/>
          <w:sz w:val="23"/>
        </w:rPr>
      </w:r>
    </w:p>
    <w:p>
      <w:pPr>
        <w:pStyle w:val="PlainText"/>
        <w:jc w:val="both"/>
        <w:rPr>
          <w:rFonts w:ascii="CG Omega" w:hAnsi="CG Omega" w:cs="CG Omega"/>
          <w:sz w:val="23"/>
        </w:rPr>
      </w:pPr>
      <w:r>
        <w:rPr>
          <w:rFonts w:cs="CG Omega" w:ascii="CG Omega" w:hAnsi="CG Omega"/>
          <w:sz w:val="23"/>
        </w:rPr>
        <w:tab/>
        <w:t>We recommend the following for U.S. companies:</w:t>
      </w:r>
    </w:p>
    <w:p>
      <w:pPr>
        <w:pStyle w:val="PlainText"/>
        <w:jc w:val="both"/>
        <w:rPr>
          <w:rFonts w:ascii="CG Omega" w:hAnsi="CG Omega" w:cs="CG Omega"/>
          <w:sz w:val="23"/>
        </w:rPr>
      </w:pPr>
      <w:r>
        <w:rPr>
          <w:rFonts w:cs="CG Omega" w:ascii="CG Omega" w:hAnsi="CG Omega"/>
          <w:sz w:val="23"/>
        </w:rPr>
      </w:r>
    </w:p>
    <w:p>
      <w:pPr>
        <w:pStyle w:val="PlainText"/>
        <w:numPr>
          <w:ilvl w:val="0"/>
          <w:numId w:val="5"/>
        </w:numPr>
        <w:jc w:val="both"/>
        <w:rPr>
          <w:rFonts w:ascii="CG Omega" w:hAnsi="CG Omega" w:cs="CG Omega"/>
          <w:sz w:val="23"/>
        </w:rPr>
      </w:pPr>
      <w:r>
        <w:rPr>
          <w:rFonts w:cs="CG Omega" w:ascii="CG Omega" w:hAnsi="CG Omega"/>
          <w:sz w:val="23"/>
        </w:rPr>
        <w:t>Implement a comprehensive FCPA compliance program by, among other things, preparing and distributing a compliance handbook which includes information and guidance regarding the FCPA;</w:t>
      </w:r>
    </w:p>
    <w:p>
      <w:pPr>
        <w:pStyle w:val="PlainText"/>
        <w:jc w:val="both"/>
        <w:rPr>
          <w:rFonts w:ascii="CG Omega" w:hAnsi="CG Omega" w:cs="CG Omega"/>
          <w:sz w:val="23"/>
        </w:rPr>
      </w:pPr>
      <w:r>
        <w:rPr>
          <w:rFonts w:cs="CG Omega" w:ascii="CG Omega" w:hAnsi="CG Omega"/>
          <w:sz w:val="23"/>
        </w:rPr>
      </w:r>
    </w:p>
    <w:p>
      <w:pPr>
        <w:pStyle w:val="PlainText"/>
        <w:numPr>
          <w:ilvl w:val="0"/>
          <w:numId w:val="7"/>
        </w:numPr>
        <w:tabs>
          <w:tab w:val="clear" w:pos="720"/>
          <w:tab w:val="left" w:pos="360" w:leader="none"/>
        </w:tabs>
        <w:jc w:val="both"/>
        <w:rPr>
          <w:rFonts w:ascii="CG Omega" w:hAnsi="CG Omega" w:cs="CG Omega"/>
          <w:sz w:val="23"/>
        </w:rPr>
      </w:pPr>
      <w:r>
        <w:rPr>
          <w:rFonts w:cs="CG Omega" w:ascii="CG Omega" w:hAnsi="CG Omega"/>
          <w:sz w:val="23"/>
        </w:rPr>
        <w:t>Ensure that compliance audits of the business practices and accounting procedures of foreign-organized entities are performed in a timely and thorough manner in order to verify and conform such practices and procedures accordingly and to detect sensitive payments and other possible improprieties;</w:t>
      </w:r>
      <w:r>
        <w:br w:type="page"/>
      </w:r>
    </w:p>
    <w:p>
      <w:pPr>
        <w:pStyle w:val="PlainText"/>
        <w:tabs>
          <w:tab w:val="clear" w:pos="720"/>
          <w:tab w:val="left" w:pos="360" w:leader="none"/>
        </w:tabs>
        <w:jc w:val="both"/>
        <w:rPr>
          <w:rFonts w:ascii="CG Omega" w:hAnsi="CG Omega" w:cs="CG Omega"/>
          <w:sz w:val="23"/>
        </w:rPr>
      </w:pPr>
      <w:r>
        <w:rPr>
          <w:rFonts w:cs="CG Omega" w:ascii="CG Omega" w:hAnsi="CG Omega"/>
          <w:sz w:val="23"/>
        </w:rPr>
        <w:t>Take serious remedial measures based on results of compliance audits;</w:t>
      </w:r>
    </w:p>
    <w:p>
      <w:pPr>
        <w:pStyle w:val="PlainText"/>
        <w:tabs>
          <w:tab w:val="clear" w:pos="720"/>
          <w:tab w:val="left" w:pos="360" w:leader="none"/>
        </w:tabs>
        <w:jc w:val="both"/>
        <w:rPr>
          <w:rFonts w:ascii="CG Omega" w:hAnsi="CG Omega" w:cs="CG Omega"/>
          <w:sz w:val="23"/>
        </w:rPr>
      </w:pPr>
      <w:r>
        <w:rPr>
          <w:rFonts w:cs="CG Omega" w:ascii="CG Omega" w:hAnsi="CG Omega"/>
          <w:sz w:val="23"/>
        </w:rPr>
      </w:r>
    </w:p>
    <w:p>
      <w:pPr>
        <w:pStyle w:val="PlainText"/>
        <w:numPr>
          <w:ilvl w:val="0"/>
          <w:numId w:val="3"/>
        </w:numPr>
        <w:jc w:val="both"/>
        <w:rPr>
          <w:rFonts w:ascii="CG Omega" w:hAnsi="CG Omega" w:cs="CG Omega"/>
          <w:sz w:val="23"/>
        </w:rPr>
      </w:pPr>
      <w:r>
        <w:rPr>
          <w:rFonts w:cs="CG Omega" w:ascii="CG Omega" w:hAnsi="CG Omega"/>
          <w:sz w:val="23"/>
        </w:rPr>
        <w:t>Designate qualified personnel to review monthly funding requests for reasonableness;</w:t>
      </w:r>
    </w:p>
    <w:p>
      <w:pPr>
        <w:pStyle w:val="PlainText"/>
        <w:tabs>
          <w:tab w:val="clear" w:pos="720"/>
          <w:tab w:val="left" w:pos="360" w:leader="none"/>
        </w:tabs>
        <w:jc w:val="both"/>
        <w:rPr>
          <w:rFonts w:ascii="CG Omega" w:hAnsi="CG Omega" w:cs="CG Omega"/>
          <w:sz w:val="23"/>
        </w:rPr>
      </w:pPr>
      <w:r>
        <w:rPr>
          <w:rFonts w:cs="CG Omega" w:ascii="CG Omega" w:hAnsi="CG Omega"/>
          <w:sz w:val="23"/>
        </w:rPr>
      </w:r>
    </w:p>
    <w:p>
      <w:pPr>
        <w:pStyle w:val="PlainText"/>
        <w:numPr>
          <w:ilvl w:val="0"/>
          <w:numId w:val="4"/>
        </w:numPr>
        <w:jc w:val="both"/>
        <w:rPr>
          <w:rFonts w:ascii="CG Omega" w:hAnsi="CG Omega" w:cs="CG Omega"/>
          <w:sz w:val="23"/>
        </w:rPr>
      </w:pPr>
      <w:r>
        <w:rPr>
          <w:rFonts w:cs="CG Omega" w:ascii="CG Omega" w:hAnsi="CG Omega"/>
          <w:sz w:val="23"/>
        </w:rPr>
        <w:t>Educate personnel regarding the importance that your company places on keeping accurate books and records that in reasonable detail describe the transactions and dispositions of assets;</w:t>
      </w:r>
    </w:p>
    <w:p>
      <w:pPr>
        <w:pStyle w:val="PlainText"/>
        <w:jc w:val="both"/>
        <w:rPr>
          <w:rFonts w:ascii="CG Omega" w:hAnsi="CG Omega" w:cs="CG Omega"/>
          <w:sz w:val="23"/>
        </w:rPr>
      </w:pPr>
      <w:r>
        <w:rPr>
          <w:rFonts w:cs="CG Omega" w:ascii="CG Omega" w:hAnsi="CG Omega"/>
          <w:sz w:val="23"/>
        </w:rPr>
      </w:r>
    </w:p>
    <w:p>
      <w:pPr>
        <w:pStyle w:val="PlainText"/>
        <w:numPr>
          <w:ilvl w:val="0"/>
          <w:numId w:val="7"/>
        </w:numPr>
        <w:tabs>
          <w:tab w:val="clear" w:pos="720"/>
          <w:tab w:val="left" w:pos="360" w:leader="none"/>
        </w:tabs>
        <w:jc w:val="both"/>
        <w:rPr>
          <w:rFonts w:ascii="CG Omega" w:hAnsi="CG Omega" w:cs="CG Omega"/>
          <w:sz w:val="23"/>
        </w:rPr>
      </w:pPr>
      <w:r>
        <w:rPr>
          <w:rFonts w:cs="CG Omega" w:ascii="CG Omega" w:hAnsi="CG Omega"/>
          <w:sz w:val="23"/>
        </w:rPr>
        <w:t xml:space="preserve">Designate compliance officers responsible for the education, training and monitoring of indirect wholly-owned subsidiary’s officers, directors, employees, agents and other representatives.  Corporate policies must be followed throughout the entire company, including indirect wholly-owned subsidiaries;  </w:t>
      </w:r>
    </w:p>
    <w:p>
      <w:pPr>
        <w:pStyle w:val="PlainText"/>
        <w:jc w:val="both"/>
        <w:rPr>
          <w:rFonts w:ascii="CG Omega" w:hAnsi="CG Omega" w:cs="CG Omega"/>
          <w:sz w:val="23"/>
        </w:rPr>
      </w:pPr>
      <w:r>
        <w:rPr>
          <w:rFonts w:cs="CG Omega" w:ascii="CG Omega" w:hAnsi="CG Omega"/>
          <w:sz w:val="23"/>
        </w:rPr>
      </w:r>
    </w:p>
    <w:p>
      <w:pPr>
        <w:pStyle w:val="PlainText"/>
        <w:numPr>
          <w:ilvl w:val="0"/>
          <w:numId w:val="7"/>
        </w:numPr>
        <w:tabs>
          <w:tab w:val="clear" w:pos="720"/>
          <w:tab w:val="left" w:pos="360" w:leader="none"/>
        </w:tabs>
        <w:jc w:val="both"/>
        <w:rPr>
          <w:rFonts w:ascii="CG Omega" w:hAnsi="CG Omega" w:cs="CG Omega"/>
          <w:sz w:val="23"/>
        </w:rPr>
      </w:pPr>
      <w:r>
        <w:rPr>
          <w:rFonts w:cs="CG Omega" w:ascii="CG Omega" w:hAnsi="CG Omega"/>
          <w:sz w:val="23"/>
        </w:rPr>
        <w:t>Conduct annual FCPA training of personnel involved with or responsible for your company’s international operations, whether based in the United States or overseas.  In conjunction with an annual training program for such personnel, companies should provide FCPA training to all newly-hired personnel involved with or responsible for the company’s international operations, whether based in the United States or overseas;</w:t>
      </w:r>
    </w:p>
    <w:p>
      <w:pPr>
        <w:pStyle w:val="PlainText"/>
        <w:jc w:val="both"/>
        <w:rPr>
          <w:rFonts w:ascii="CG Omega" w:hAnsi="CG Omega" w:cs="CG Omega"/>
          <w:sz w:val="23"/>
        </w:rPr>
      </w:pPr>
      <w:r>
        <w:rPr>
          <w:rFonts w:cs="CG Omega" w:ascii="CG Omega" w:hAnsi="CG Omega"/>
          <w:sz w:val="23"/>
        </w:rPr>
      </w:r>
    </w:p>
    <w:p>
      <w:pPr>
        <w:pStyle w:val="PlainText"/>
        <w:numPr>
          <w:ilvl w:val="0"/>
          <w:numId w:val="7"/>
        </w:numPr>
        <w:tabs>
          <w:tab w:val="clear" w:pos="720"/>
          <w:tab w:val="left" w:pos="360" w:leader="none"/>
        </w:tabs>
        <w:jc w:val="both"/>
        <w:rPr>
          <w:rFonts w:ascii="CG Omega" w:hAnsi="CG Omega" w:cs="CG Omega"/>
          <w:sz w:val="23"/>
        </w:rPr>
      </w:pPr>
      <w:r>
        <w:rPr>
          <w:rFonts w:cs="CG Omega" w:ascii="CG Omega" w:hAnsi="CG Omega"/>
          <w:sz w:val="23"/>
        </w:rPr>
        <w:t xml:space="preserve">Design systems for the prevention and detection of both direct and indirect payments made in violation of the FCPA; </w:t>
      </w:r>
    </w:p>
    <w:p>
      <w:pPr>
        <w:pStyle w:val="PlainText"/>
        <w:tabs>
          <w:tab w:val="clear" w:pos="720"/>
          <w:tab w:val="left" w:pos="360" w:leader="none"/>
        </w:tabs>
        <w:jc w:val="both"/>
        <w:rPr>
          <w:rFonts w:ascii="CG Omega" w:hAnsi="CG Omega" w:cs="CG Omega"/>
          <w:sz w:val="23"/>
        </w:rPr>
      </w:pPr>
      <w:r>
        <w:rPr>
          <w:rFonts w:cs="CG Omega" w:ascii="CG Omega" w:hAnsi="CG Omega"/>
          <w:sz w:val="23"/>
        </w:rPr>
      </w:r>
    </w:p>
    <w:p>
      <w:pPr>
        <w:pStyle w:val="SingleHanging"/>
        <w:numPr>
          <w:ilvl w:val="0"/>
          <w:numId w:val="6"/>
        </w:numPr>
        <w:spacing w:before="0" w:after="0"/>
        <w:jc w:val="both"/>
        <w:rPr>
          <w:sz w:val="23"/>
        </w:rPr>
      </w:pPr>
      <w:r>
        <w:rPr>
          <w:sz w:val="23"/>
        </w:rPr>
        <w:t xml:space="preserve">Make it evident that members of senior management, including the Law Department, are personally committed to compliance.  For example, we recommend that a company involve its senior officers in communicating to personnel any new policies or guidelines to be implemented; </w:t>
      </w:r>
    </w:p>
    <w:p>
      <w:pPr>
        <w:pStyle w:val="SingleHanging"/>
        <w:spacing w:before="0" w:after="0"/>
        <w:jc w:val="both"/>
        <w:rPr>
          <w:sz w:val="23"/>
        </w:rPr>
      </w:pPr>
      <w:r>
        <w:rPr>
          <w:sz w:val="23"/>
        </w:rPr>
      </w:r>
    </w:p>
    <w:p>
      <w:pPr>
        <w:pStyle w:val="SingleHanging"/>
        <w:numPr>
          <w:ilvl w:val="0"/>
          <w:numId w:val="2"/>
        </w:numPr>
        <w:spacing w:before="0" w:after="0"/>
        <w:jc w:val="both"/>
        <w:rPr>
          <w:sz w:val="23"/>
        </w:rPr>
      </w:pPr>
      <w:r>
        <w:rPr>
          <w:sz w:val="23"/>
        </w:rPr>
        <w:t>Finally, be aware that the SEC can consider a subsidiary’s records as those of the parent company for purposes of the FCPA.</w:t>
      </w:r>
      <w:r>
        <w:br w:type="page"/>
      </w:r>
    </w:p>
    <w:p>
      <w:pPr>
        <w:pStyle w:val="SingleHanging"/>
        <w:spacing w:before="0" w:after="0"/>
        <w:jc w:val="both"/>
        <w:rPr>
          <w:sz w:val="23"/>
        </w:rPr>
      </w:pPr>
      <w:r>
        <w:rPr>
          <w:sz w:val="23"/>
        </w:rPr>
      </w:r>
    </w:p>
    <w:p>
      <w:pPr>
        <w:pStyle w:val="SingleHanging"/>
        <w:tabs>
          <w:tab w:val="clear" w:pos="720"/>
          <w:tab w:val="left" w:pos="360" w:leader="none"/>
        </w:tabs>
        <w:spacing w:before="0" w:after="0"/>
        <w:jc w:val="both"/>
        <w:rPr>
          <w:sz w:val="23"/>
        </w:rPr>
      </w:pPr>
      <w:r>
        <w:rPr>
          <w:sz w:val="23"/>
        </w:rPr>
        <w:tab/>
        <w:tab/>
        <w:t>If you would like additional information regarding these or other FCPA issues, please contact:</w:t>
      </w:r>
    </w:p>
    <w:p>
      <w:pPr>
        <w:pStyle w:val="SingleHanging"/>
        <w:spacing w:before="0" w:after="0"/>
        <w:ind w:hanging="0" w:start="0" w:end="0"/>
        <w:jc w:val="both"/>
        <w:rPr>
          <w:sz w:val="23"/>
        </w:rPr>
      </w:pPr>
      <w:r>
        <w:rPr>
          <w:sz w:val="23"/>
        </w:rPr>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i/>
          <w:i/>
          <w:sz w:val="23"/>
        </w:rPr>
      </w:pPr>
      <w:r>
        <w:rPr>
          <w:rFonts w:cs="CG Omega" w:ascii="CG Omega" w:hAnsi="CG Omega"/>
          <w:i/>
          <w:sz w:val="23"/>
        </w:rPr>
        <w:t>Foley &amp; Lardner</w:t>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i/>
          <w:i/>
          <w:sz w:val="23"/>
        </w:rPr>
      </w:pPr>
      <w:r>
        <w:rPr>
          <w:rFonts w:cs="CG Omega" w:ascii="CG Omega" w:hAnsi="CG Omega"/>
          <w:i/>
          <w:sz w:val="23"/>
        </w:rPr>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b/>
          <w:sz w:val="23"/>
        </w:rPr>
      </w:pPr>
      <w:r>
        <w:rPr>
          <w:rFonts w:cs="CG Omega" w:ascii="CG Omega" w:hAnsi="CG Omega"/>
          <w:b/>
          <w:sz w:val="23"/>
        </w:rPr>
        <w:t>Gregory S. Bruch</w:t>
      </w:r>
      <w:r>
        <w:rPr>
          <w:rStyle w:val="FootnoteCharacters"/>
          <w:rStyle w:val="FootnoteReference"/>
          <w:rFonts w:cs="CG Omega" w:ascii="CG Omega" w:hAnsi="CG Omega"/>
          <w:b/>
          <w:sz w:val="23"/>
        </w:rPr>
        <w:footnoteReference w:id="8"/>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sz w:val="23"/>
        </w:rPr>
      </w:pPr>
      <w:r>
        <w:rPr>
          <w:rFonts w:cs="CG Omega" w:ascii="CG Omega" w:hAnsi="CG Omega"/>
          <w:sz w:val="23"/>
        </w:rPr>
        <w:t>(202) 672-5460</w:t>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b/>
          <w:sz w:val="23"/>
        </w:rPr>
      </w:pPr>
      <w:r>
        <w:rPr>
          <w:rFonts w:cs="CG Omega" w:ascii="CG Omega" w:hAnsi="CG Omega"/>
          <w:i/>
          <w:sz w:val="23"/>
        </w:rPr>
        <w:t>Compliance, Counseling and Government Enforcement Practice Group</w:t>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sz w:val="23"/>
        </w:rPr>
      </w:pPr>
      <w:r>
        <w:rPr>
          <w:rStyle w:val="Hyperlink"/>
          <w:rFonts w:cs="CG Omega" w:ascii="CG Omega" w:hAnsi="CG Omega"/>
          <w:sz w:val="23"/>
        </w:rPr>
        <w:t>gbruch@foleylaw.com</w:t>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b/>
          <w:sz w:val="23"/>
        </w:rPr>
      </w:pPr>
      <w:r>
        <w:rPr>
          <w:rFonts w:cs="CG Omega" w:ascii="CG Omega" w:hAnsi="CG Omega"/>
          <w:b/>
          <w:sz w:val="23"/>
        </w:rPr>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b/>
          <w:sz w:val="23"/>
        </w:rPr>
      </w:pPr>
      <w:r>
        <w:rPr>
          <w:rFonts w:cs="CG Omega" w:ascii="CG Omega" w:hAnsi="CG Omega"/>
          <w:b/>
          <w:sz w:val="23"/>
        </w:rPr>
        <w:t>Sharie A. Brown</w:t>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sz w:val="23"/>
        </w:rPr>
      </w:pPr>
      <w:r>
        <w:rPr>
          <w:rFonts w:cs="CG Omega" w:ascii="CG Omega" w:hAnsi="CG Omega"/>
          <w:sz w:val="23"/>
        </w:rPr>
        <w:t>(202) 672-5494</w:t>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i/>
          <w:i/>
          <w:sz w:val="23"/>
        </w:rPr>
      </w:pPr>
      <w:r>
        <w:rPr>
          <w:rFonts w:cs="CG Omega" w:ascii="CG Omega" w:hAnsi="CG Omega"/>
          <w:i/>
          <w:sz w:val="23"/>
        </w:rPr>
        <w:t>Compliance, Counseling and Government Enforcement Practice Group</w:t>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sz w:val="23"/>
        </w:rPr>
      </w:pPr>
      <w:hyperlink r:id="rId6">
        <w:r>
          <w:rPr>
            <w:rStyle w:val="Hyperlink"/>
            <w:rFonts w:cs="CG Omega" w:ascii="CG Omega" w:hAnsi="CG Omega"/>
            <w:sz w:val="23"/>
          </w:rPr>
          <w:t>sbrown@foleylaw.com</w:t>
        </w:r>
      </w:hyperlink>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b/>
          <w:sz w:val="23"/>
        </w:rPr>
      </w:pPr>
      <w:r>
        <w:rPr>
          <w:rFonts w:cs="CG Omega" w:ascii="CG Omega" w:hAnsi="CG Omega"/>
          <w:b/>
          <w:sz w:val="23"/>
        </w:rPr>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b/>
          <w:sz w:val="23"/>
        </w:rPr>
      </w:pPr>
      <w:r>
        <w:rPr>
          <w:rFonts w:cs="CG Omega" w:ascii="CG Omega" w:hAnsi="CG Omega"/>
          <w:b/>
          <w:sz w:val="23"/>
        </w:rPr>
        <w:t>Robert J. Meyer</w:t>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sz w:val="23"/>
        </w:rPr>
      </w:pPr>
      <w:r>
        <w:rPr>
          <w:rFonts w:cs="CG Omega" w:ascii="CG Omega" w:hAnsi="CG Omega"/>
          <w:sz w:val="23"/>
        </w:rPr>
        <w:t>(202) 672-5366</w:t>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b/>
          <w:sz w:val="23"/>
        </w:rPr>
      </w:pPr>
      <w:r>
        <w:rPr>
          <w:rFonts w:cs="CG Omega" w:ascii="CG Omega" w:hAnsi="CG Omega"/>
          <w:i/>
          <w:sz w:val="23"/>
        </w:rPr>
        <w:t>Compliance, Counseling and Government Enforcement Practice Group</w:t>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sz w:val="23"/>
        </w:rPr>
      </w:pPr>
      <w:r>
        <w:rPr>
          <w:rStyle w:val="Hyperlink"/>
          <w:rFonts w:cs="CG Omega" w:ascii="CG Omega" w:hAnsi="CG Omega"/>
          <w:sz w:val="23"/>
        </w:rPr>
        <w:t>rmeyer@foleylaw.com</w:t>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b/>
          <w:sz w:val="23"/>
        </w:rPr>
      </w:pPr>
      <w:r>
        <w:rPr>
          <w:rFonts w:cs="CG Omega" w:ascii="CG Omega" w:hAnsi="CG Omega"/>
          <w:b/>
          <w:sz w:val="23"/>
        </w:rPr>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sz w:val="23"/>
        </w:rPr>
      </w:pPr>
      <w:r>
        <w:rPr>
          <w:rFonts w:cs="CG Omega" w:ascii="CG Omega" w:hAnsi="CG Omega"/>
          <w:b/>
          <w:sz w:val="23"/>
        </w:rPr>
        <w:t>Martin J. Weinstein</w:t>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sz w:val="23"/>
        </w:rPr>
      </w:pPr>
      <w:r>
        <w:rPr>
          <w:rFonts w:cs="CG Omega" w:ascii="CG Omega" w:hAnsi="CG Omega"/>
          <w:sz w:val="23"/>
        </w:rPr>
        <w:t>(202) 672-5435</w:t>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b/>
          <w:sz w:val="23"/>
        </w:rPr>
      </w:pPr>
      <w:r>
        <w:rPr>
          <w:rFonts w:cs="CG Omega" w:ascii="CG Omega" w:hAnsi="CG Omega"/>
          <w:i/>
          <w:sz w:val="23"/>
        </w:rPr>
        <w:t>Chairman, Compliance, Counseling and Government Enforcement Practice Group</w:t>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sz w:val="23"/>
          <w:u w:val="single"/>
        </w:rPr>
      </w:pPr>
      <w:r>
        <w:rPr>
          <w:rFonts w:cs="CG Omega" w:ascii="CG Omega" w:hAnsi="CG Omega"/>
          <w:sz w:val="23"/>
          <w:u w:val="single"/>
        </w:rPr>
        <w:t>mweinstein@foleylaw.com</w:t>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sz w:val="23"/>
          <w:u w:val="single"/>
        </w:rPr>
      </w:pPr>
      <w:r>
        <w:rPr>
          <w:rFonts w:cs="CG Omega" w:ascii="CG Omega" w:hAnsi="CG Omega"/>
          <w:sz w:val="23"/>
          <w:u w:val="single"/>
        </w:rPr>
      </w:r>
    </w:p>
    <w:p>
      <w:pPr>
        <w:pStyle w:val="Normal"/>
        <w:pBdr>
          <w:top w:val="double" w:sz="6" w:space="1" w:color="000000"/>
          <w:left w:val="double" w:sz="6" w:space="4" w:color="000000"/>
          <w:bottom w:val="double" w:sz="6" w:space="1" w:color="000000"/>
          <w:right w:val="double" w:sz="6" w:space="4" w:color="000000"/>
        </w:pBdr>
        <w:jc w:val="center"/>
        <w:rPr>
          <w:rFonts w:ascii="CG Omega" w:hAnsi="CG Omega" w:cs="CG Omega"/>
          <w:sz w:val="23"/>
        </w:rPr>
      </w:pPr>
      <w:r>
        <w:rPr>
          <w:rFonts w:cs="CG Omega" w:ascii="CG Omega" w:hAnsi="CG Omega"/>
          <w:sz w:val="23"/>
        </w:rPr>
      </w:r>
    </w:p>
    <w:p>
      <w:pPr>
        <w:pStyle w:val="Normal"/>
        <w:pBdr>
          <w:top w:val="double" w:sz="6" w:space="1" w:color="000000"/>
          <w:left w:val="double" w:sz="6" w:space="4" w:color="000000"/>
          <w:bottom w:val="double" w:sz="6" w:space="1" w:color="000000"/>
          <w:right w:val="double" w:sz="6" w:space="4" w:color="000000"/>
        </w:pBdr>
        <w:jc w:val="both"/>
        <w:rPr>
          <w:rFonts w:ascii="Univers (W1);Arial" w:hAnsi="Univers (W1);Arial" w:cs="Univers (W1);Arial"/>
          <w:sz w:val="23"/>
        </w:rPr>
      </w:pPr>
      <w:r>
        <w:rPr>
          <w:rFonts w:cs="Univers (W1);Arial" w:ascii="Univers (W1);Arial" w:hAnsi="Univers (W1);Arial"/>
          <w:sz w:val="23"/>
        </w:rPr>
      </w:r>
    </w:p>
    <w:p>
      <w:pPr>
        <w:pStyle w:val="Normal"/>
        <w:jc w:val="both"/>
        <w:rPr>
          <w:rFonts w:ascii="Univers (W1);Arial" w:hAnsi="Univers (W1);Arial" w:cs="Univers (W1);Arial"/>
          <w:sz w:val="23"/>
        </w:rPr>
      </w:pPr>
      <w:r>
        <w:rPr>
          <w:rFonts w:cs="Univers (W1);Arial" w:ascii="Univers (W1);Arial" w:hAnsi="Univers (W1);Arial"/>
          <w:sz w:val="23"/>
        </w:rPr>
      </w:r>
    </w:p>
    <w:p>
      <w:pPr>
        <w:pStyle w:val="Normal"/>
        <w:jc w:val="both"/>
        <w:rPr>
          <w:sz w:val="23"/>
        </w:rPr>
      </w:pPr>
      <w:r>
        <w:rPr>
          <w:sz w:val="23"/>
        </w:rPr>
      </w:r>
    </w:p>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CG Omega">
    <w:charset w:val="00" w:characterSet="windows-1252"/>
    <w:family w:val="swiss"/>
    <w:pitch w:val="variable"/>
  </w:font>
  <w:font w:name="Univers (W1)">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5</w:t>
    </w:r>
    <w:r>
      <w:rPr/>
      <w:fldChar w:fldCharType="end"/>
    </w:r>
    <w:r>
      <mc:AlternateContent>
        <mc:Choice Requires="wps">
          <w:drawing>
            <wp:anchor behindDoc="0" distT="118745" distB="118745" distL="118745" distR="118745" simplePos="0" locked="0" layoutInCell="0" allowOverlap="1" relativeHeight="6">
              <wp:simplePos x="0" y="0"/>
              <wp:positionH relativeFrom="page">
                <wp:posOffset>330835</wp:posOffset>
              </wp:positionH>
              <wp:positionV relativeFrom="page">
                <wp:posOffset>9584690</wp:posOffset>
              </wp:positionV>
              <wp:extent cx="1118235" cy="280035"/>
              <wp:effectExtent l="0" t="0" r="0" b="0"/>
              <wp:wrapSquare wrapText="bothSides"/>
              <wp:docPr id="2" name="Frame3"/>
              <a:graphic xmlns:a="http://schemas.openxmlformats.org/drawingml/2006/main">
                <a:graphicData uri="http://schemas.microsoft.com/office/word/2010/wordprocessingShape">
                  <wps:wsp>
                    <wps:cNvSpPr txBox="1"/>
                    <wps:spPr>
                      <a:xfrm>
                        <a:off x="0" y="0"/>
                        <a:ext cx="1118235" cy="280035"/>
                      </a:xfrm>
                      <a:prstGeom prst="rect"/>
                      <a:solidFill>
                        <a:srgbClr val="FFFFFF">
                          <a:alpha val="0"/>
                        </a:srgbClr>
                      </a:solidFill>
                    </wps:spPr>
                    <wps:txbx>
                      <w:txbxContent>
                        <w:p>
                          <w:pPr>
                            <w:pStyle w:val="Normal"/>
                            <w:rPr>
                              <w:rFonts w:ascii="Arial" w:hAnsi="Arial" w:cs="Arial"/>
                              <w:sz w:val="16"/>
                              <w:lang w:val="en-CA"/>
                            </w:rPr>
                          </w:pP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002.651500</w:t>
                          </w:r>
                          <w:r>
                            <w:rPr>
                              <w:sz w:val="16"/>
                              <w:rFonts w:cs="Arial" w:ascii="Arial" w:hAnsi="Arial"/>
                              <w:lang w:val="en-CA"/>
                            </w:rPr>
                            <w:fldChar w:fldCharType="end"/>
                          </w: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002.651500</w:t>
                          </w:r>
                          <w:r>
                            <w:rPr>
                              <w:sz w:val="16"/>
                              <w:rFonts w:cs="Arial" w:ascii="Arial" w:hAnsi="Arial"/>
                              <w:lang w:val="en-CA"/>
                            </w:rPr>
                            <w:fldChar w:fldCharType="end"/>
                          </w: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002.651500</w:t>
                          </w:r>
                          <w:r>
                            <w:rPr>
                              <w:sz w:val="16"/>
                              <w:rFonts w:cs="Arial" w:ascii="Arial" w:hAnsi="Arial"/>
                              <w:lang w:val="en-CA"/>
                            </w:rPr>
                            <w:fldChar w:fldCharType="end"/>
                          </w:r>
                        </w:p>
                      </w:txbxContent>
                    </wps:txbx>
                    <wps:bodyPr anchor="t" lIns="0" tIns="0" rIns="0" bIns="0">
                      <a:noAutofit/>
                    </wps:bodyPr>
                  </wps:wsp>
                </a:graphicData>
              </a:graphic>
            </wp:anchor>
          </w:drawing>
        </mc:Choice>
        <mc:Fallback>
          <w:pict>
            <v:rect fillcolor="#FFFFFF" style="position:absolute;rotation:-0;width:88.05pt;height:22.05pt;mso-wrap-distance-left:9.35pt;mso-wrap-distance-right:9.35pt;mso-wrap-distance-top:9.35pt;mso-wrap-distance-bottom:9.35pt;margin-top:754.7pt;mso-position-vertical-relative:page;margin-left:26.05pt;mso-position-horizontal-relative:page">
              <v:fill opacity="0f"/>
              <v:textbox inset="0in,0in,0in,0in">
                <w:txbxContent>
                  <w:p>
                    <w:pPr>
                      <w:pStyle w:val="Normal"/>
                      <w:rPr>
                        <w:rFonts w:ascii="Arial" w:hAnsi="Arial" w:cs="Arial"/>
                        <w:sz w:val="16"/>
                        <w:lang w:val="en-CA"/>
                      </w:rPr>
                    </w:pP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002.651500</w:t>
                    </w:r>
                    <w:r>
                      <w:rPr>
                        <w:sz w:val="16"/>
                        <w:rFonts w:cs="Arial" w:ascii="Arial" w:hAnsi="Arial"/>
                        <w:lang w:val="en-CA"/>
                      </w:rPr>
                      <w:fldChar w:fldCharType="end"/>
                    </w: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002.651500</w:t>
                    </w:r>
                    <w:r>
                      <w:rPr>
                        <w:sz w:val="16"/>
                        <w:rFonts w:cs="Arial" w:ascii="Arial" w:hAnsi="Arial"/>
                        <w:lang w:val="en-CA"/>
                      </w:rPr>
                      <w:fldChar w:fldCharType="end"/>
                    </w: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002.651500</w:t>
                    </w:r>
                    <w:r>
                      <w:rPr>
                        <w:sz w:val="16"/>
                        <w:rFonts w:cs="Arial" w:ascii="Arial" w:hAnsi="Arial"/>
                        <w:lang w:val="en-CA"/>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118745" distB="118745" distL="118745" distR="118745" simplePos="0" locked="0" layoutInCell="0" allowOverlap="1" relativeHeight="2">
              <wp:simplePos x="0" y="0"/>
              <wp:positionH relativeFrom="page">
                <wp:posOffset>330835</wp:posOffset>
              </wp:positionH>
              <wp:positionV relativeFrom="page">
                <wp:posOffset>9584690</wp:posOffset>
              </wp:positionV>
              <wp:extent cx="1118235" cy="280035"/>
              <wp:effectExtent l="0" t="0" r="0" b="0"/>
              <wp:wrapSquare wrapText="bothSides"/>
              <wp:docPr id="3" name="Frame2"/>
              <a:graphic xmlns:a="http://schemas.openxmlformats.org/drawingml/2006/main">
                <a:graphicData uri="http://schemas.microsoft.com/office/word/2010/wordprocessingShape">
                  <wps:wsp>
                    <wps:cNvSpPr txBox="1"/>
                    <wps:spPr>
                      <a:xfrm>
                        <a:off x="0" y="0"/>
                        <a:ext cx="1118235" cy="280035"/>
                      </a:xfrm>
                      <a:prstGeom prst="rect"/>
                      <a:solidFill>
                        <a:srgbClr val="FFFFFF">
                          <a:alpha val="0"/>
                        </a:srgbClr>
                      </a:solidFill>
                    </wps:spPr>
                    <wps:txbx>
                      <w:txbxContent>
                        <w:p>
                          <w:pPr>
                            <w:pStyle w:val="Normal"/>
                            <w:rPr>
                              <w:rFonts w:ascii="Arial" w:hAnsi="Arial" w:cs="Arial"/>
                              <w:sz w:val="16"/>
                              <w:lang w:val="en-CA"/>
                            </w:rPr>
                          </w:pP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002.651500</w:t>
                          </w:r>
                          <w:r>
                            <w:rPr>
                              <w:sz w:val="16"/>
                              <w:rFonts w:cs="Arial" w:ascii="Arial" w:hAnsi="Arial"/>
                              <w:lang w:val="en-CA"/>
                            </w:rPr>
                            <w:fldChar w:fldCharType="end"/>
                          </w: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002.651500</w:t>
                          </w:r>
                          <w:r>
                            <w:rPr>
                              <w:sz w:val="16"/>
                              <w:rFonts w:cs="Arial" w:ascii="Arial" w:hAnsi="Arial"/>
                              <w:lang w:val="en-CA"/>
                            </w:rPr>
                            <w:fldChar w:fldCharType="end"/>
                          </w: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002.651500</w:t>
                          </w:r>
                          <w:r>
                            <w:rPr>
                              <w:sz w:val="16"/>
                              <w:rFonts w:cs="Arial" w:ascii="Arial" w:hAnsi="Arial"/>
                              <w:lang w:val="en-CA"/>
                            </w:rPr>
                            <w:fldChar w:fldCharType="end"/>
                          </w:r>
                        </w:p>
                      </w:txbxContent>
                    </wps:txbx>
                    <wps:bodyPr anchor="t" lIns="0" tIns="0" rIns="0" bIns="0">
                      <a:noAutofit/>
                    </wps:bodyPr>
                  </wps:wsp>
                </a:graphicData>
              </a:graphic>
            </wp:anchor>
          </w:drawing>
        </mc:Choice>
        <mc:Fallback>
          <w:pict>
            <v:rect fillcolor="#FFFFFF" style="position:absolute;rotation:-0;width:88.05pt;height:22.05pt;mso-wrap-distance-left:9.35pt;mso-wrap-distance-right:9.35pt;mso-wrap-distance-top:9.35pt;mso-wrap-distance-bottom:9.35pt;margin-top:754.7pt;mso-position-vertical-relative:page;margin-left:26.05pt;mso-position-horizontal-relative:page">
              <v:fill opacity="0f"/>
              <v:textbox inset="0in,0in,0in,0in">
                <w:txbxContent>
                  <w:p>
                    <w:pPr>
                      <w:pStyle w:val="Normal"/>
                      <w:rPr>
                        <w:rFonts w:ascii="Arial" w:hAnsi="Arial" w:cs="Arial"/>
                        <w:sz w:val="16"/>
                        <w:lang w:val="en-CA"/>
                      </w:rPr>
                    </w:pP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002.651500</w:t>
                    </w:r>
                    <w:r>
                      <w:rPr>
                        <w:sz w:val="16"/>
                        <w:rFonts w:cs="Arial" w:ascii="Arial" w:hAnsi="Arial"/>
                        <w:lang w:val="en-CA"/>
                      </w:rPr>
                      <w:fldChar w:fldCharType="end"/>
                    </w: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002.651500</w:t>
                    </w:r>
                    <w:r>
                      <w:rPr>
                        <w:sz w:val="16"/>
                        <w:rFonts w:cs="Arial" w:ascii="Arial" w:hAnsi="Arial"/>
                        <w:lang w:val="en-CA"/>
                      </w:rPr>
                      <w:fldChar w:fldCharType="end"/>
                    </w:r>
                    <w:r>
                      <w:rPr>
                        <w:rFonts w:cs="Arial" w:ascii="Arial" w:hAnsi="Arial"/>
                        <w:sz w:val="16"/>
                        <w:lang w:val="en-CA"/>
                      </w:rPr>
                      <w:fldChar w:fldCharType="begin"/>
                    </w:r>
                    <w:r>
                      <w:rPr>
                        <w:sz w:val="16"/>
                        <w:rFonts w:cs="Arial" w:ascii="Arial" w:hAnsi="Arial"/>
                        <w:lang w:val="en-CA"/>
                      </w:rPr>
                      <w:instrText xml:space="preserve"> KEYWORDS </w:instrText>
                    </w:r>
                    <w:r>
                      <w:rPr>
                        <w:sz w:val="16"/>
                        <w:rFonts w:cs="Arial" w:ascii="Arial" w:hAnsi="Arial"/>
                        <w:lang w:val="en-CA"/>
                      </w:rPr>
                      <w:fldChar w:fldCharType="separate"/>
                    </w:r>
                    <w:r>
                      <w:rPr>
                        <w:sz w:val="16"/>
                        <w:rFonts w:cs="Arial" w:ascii="Arial" w:hAnsi="Arial"/>
                        <w:lang w:val="en-CA"/>
                      </w:rPr>
                      <w:t>002.651500</w:t>
                    </w:r>
                    <w:r>
                      <w:rPr>
                        <w:sz w:val="16"/>
                        <w:rFonts w:cs="Arial" w:ascii="Arial" w:hAnsi="Arial"/>
                        <w:lang w:val="en-CA"/>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jc w:val="both"/>
        <w:rPr/>
      </w:pPr>
      <w:r>
        <w:rPr>
          <w:rStyle w:val="FootnoteCharacters"/>
        </w:rPr>
        <w:footnoteRef/>
      </w:r>
      <w:r>
        <w:rPr/>
        <w:t xml:space="preserve">  </w:t>
      </w:r>
      <w:r>
        <w:rPr>
          <w:rFonts w:cs="CG Omega" w:ascii="CG Omega" w:hAnsi="CG Omega"/>
          <w:sz w:val="18"/>
          <w:u w:val="single"/>
        </w:rPr>
        <w:t>SEC v. Chiquita Brands International, Inc.</w:t>
      </w:r>
      <w:r>
        <w:rPr>
          <w:rFonts w:cs="CG Omega" w:ascii="CG Omega" w:hAnsi="CG Omega"/>
          <w:sz w:val="18"/>
        </w:rPr>
        <w:t>, Civ. Action No. 1:01CV02079 (D.D.C.)(filed Oct. 3, 2001).</w:t>
      </w:r>
    </w:p>
  </w:footnote>
  <w:footnote w:id="3">
    <w:p>
      <w:pPr>
        <w:pStyle w:val="FootnoteText"/>
        <w:spacing w:before="0" w:after="120"/>
        <w:ind w:firstLine="720" w:start="0" w:end="0"/>
        <w:rPr/>
      </w:pPr>
      <w:r>
        <w:rPr>
          <w:rStyle w:val="FootnoteCharacters"/>
        </w:rPr>
        <w:footnoteRef/>
      </w:r>
      <w:r>
        <w:rPr/>
        <w:t xml:space="preserve"> </w:t>
      </w:r>
      <w:r>
        <w:rPr>
          <w:rFonts w:cs="CG Omega" w:ascii="CG Omega" w:hAnsi="CG Omega"/>
          <w:sz w:val="18"/>
        </w:rPr>
        <w:t>This civil penalty is not unusual with respect to SEC FCPA enforcement proceedings, but it is atypical when compared to other SEC actions.  The SEC has had the ability to penalize companies with fines since 1990, but has almost never done so.  The reason behind the lack of such penalties is that both Congress and the SEC stress that in most cases it would be harmful to shareholders to penalize a public company.  The notable exception to this rule is in FCPA proceedings.</w:t>
      </w:r>
    </w:p>
  </w:footnote>
  <w:footnote w:id="4">
    <w:p>
      <w:pPr>
        <w:pStyle w:val="FootnoteText"/>
        <w:spacing w:before="0" w:after="120"/>
        <w:jc w:val="both"/>
        <w:rPr/>
      </w:pPr>
      <w:r>
        <w:rPr>
          <w:rStyle w:val="FootnoteCharacters"/>
        </w:rPr>
        <w:footnoteRef/>
      </w:r>
      <w:r>
        <w:rPr/>
        <w:t xml:space="preserve"> </w:t>
      </w:r>
      <w:r>
        <w:rPr>
          <w:rFonts w:cs="CG Omega" w:ascii="CG Omega" w:hAnsi="CG Omega"/>
          <w:sz w:val="18"/>
        </w:rPr>
        <w:t>The FCPA antibribery provisions apply to “issuers,” “domestic concerns,” and “any person” who violates the FCPA while in the United States.  The term “any person” includes foreign persons and corporations.  Foreign persons are subject to the FCPA only when they perform an act in furtherance of a bribe while in the United States or its territories.  Note, therefore, that although the SEC did not charge Chiquita under the FCPA’s antibribery provisions, if Banadex personnel used the telephone or e-mail or otherwise committed an act in furtherance of an improper payment while in the United States, they would be liable under the FCPA’s antibribery provisions.</w:t>
      </w:r>
    </w:p>
  </w:footnote>
  <w:footnote w:id="5">
    <w:p>
      <w:pPr>
        <w:pStyle w:val="FootnoteText"/>
        <w:spacing w:before="0" w:after="120"/>
        <w:jc w:val="both"/>
        <w:rPr/>
      </w:pPr>
      <w:r>
        <w:rPr>
          <w:rStyle w:val="FootnoteCharacters"/>
        </w:rPr>
        <w:footnoteRef/>
      </w:r>
      <w:r>
        <w:rPr/>
        <w:t xml:space="preserve"> </w:t>
      </w:r>
      <w:r>
        <w:rPr>
          <w:rFonts w:cs="CG Omega" w:ascii="CG Omega" w:hAnsi="CG Omega"/>
          <w:sz w:val="18"/>
        </w:rPr>
        <w:t xml:space="preserve">15 U.S.C. § 78dd-1, </w:t>
      </w:r>
      <w:r>
        <w:rPr>
          <w:rFonts w:cs="CG Omega" w:ascii="CG Omega" w:hAnsi="CG Omega"/>
          <w:i/>
          <w:sz w:val="18"/>
        </w:rPr>
        <w:t>et seq</w:t>
      </w:r>
      <w:r>
        <w:rPr>
          <w:rFonts w:cs="CG Omega" w:ascii="CG Omega" w:hAnsi="CG Omega"/>
          <w:sz w:val="18"/>
        </w:rPr>
        <w:t>.</w:t>
      </w:r>
    </w:p>
  </w:footnote>
  <w:footnote w:id="6">
    <w:p>
      <w:pPr>
        <w:pStyle w:val="FootnoteText"/>
        <w:spacing w:before="0" w:after="120"/>
        <w:jc w:val="both"/>
        <w:rPr/>
      </w:pPr>
      <w:r>
        <w:rPr>
          <w:rStyle w:val="FootnoteCharacters"/>
        </w:rPr>
        <w:footnoteRef/>
      </w:r>
      <w:r>
        <w:rPr/>
        <w:t xml:space="preserve"> </w:t>
      </w:r>
      <w:r>
        <w:rPr>
          <w:rFonts w:cs="CG Omega" w:ascii="CG Omega" w:hAnsi="CG Omega"/>
          <w:sz w:val="18"/>
        </w:rPr>
        <w:t>15 U.S.C. §§ 78m(b)(2)(A)-(B).</w:t>
      </w:r>
    </w:p>
  </w:footnote>
  <w:footnote w:id="7">
    <w:p>
      <w:pPr>
        <w:pStyle w:val="FootnoteText"/>
        <w:spacing w:before="0" w:after="120"/>
        <w:ind w:firstLine="720" w:start="0" w:end="0"/>
        <w:rPr/>
      </w:pPr>
      <w:r>
        <w:rPr>
          <w:rStyle w:val="FootnoteCharacters"/>
        </w:rPr>
        <w:footnoteRef/>
      </w:r>
      <w:r>
        <w:rPr/>
        <w:t xml:space="preserve"> </w:t>
      </w:r>
      <w:r>
        <w:rPr>
          <w:rFonts w:cs="CG Omega" w:ascii="CG Omega" w:hAnsi="CG Omega"/>
          <w:color w:val="000000"/>
          <w:sz w:val="18"/>
        </w:rPr>
        <w:t>No scienter of any kind is required for a civil violation.</w:t>
      </w:r>
    </w:p>
  </w:footnote>
  <w:footnote w:id="8">
    <w:p>
      <w:pPr>
        <w:pStyle w:val="FootnoteText"/>
        <w:spacing w:before="0" w:after="120"/>
        <w:jc w:val="both"/>
        <w:rPr/>
      </w:pPr>
      <w:r>
        <w:rPr>
          <w:rStyle w:val="FootnoteCharacters"/>
        </w:rPr>
        <w:footnoteRef/>
      </w:r>
      <w:r>
        <w:rPr>
          <w:sz w:val="18"/>
        </w:rPr>
        <w:t xml:space="preserve"> </w:t>
      </w:r>
      <w:r>
        <w:rPr>
          <w:rFonts w:cs="CG Omega" w:ascii="CG Omega" w:hAnsi="CG Omega"/>
          <w:sz w:val="18"/>
        </w:rPr>
        <w:t xml:space="preserve">Mr.  Bruch joins Foley &amp; Lardner after working at the SEC for 12 years.  Prior to becoming a partner at Foley &amp; Lardner he was Assistant Director at the SEC, Division of Enforcement.  In this capacity, he was a leading attorney in the  </w:t>
      </w:r>
      <w:r>
        <w:rPr>
          <w:rFonts w:cs="CG Omega" w:ascii="CG Omega" w:hAnsi="CG Omega"/>
          <w:sz w:val="18"/>
          <w:u w:val="single"/>
        </w:rPr>
        <w:t>Chiquita</w:t>
      </w:r>
      <w:r>
        <w:rPr>
          <w:rFonts w:cs="CG Omega" w:ascii="CG Omega" w:hAnsi="CG Omega"/>
          <w:sz w:val="18"/>
        </w:rPr>
        <w:t xml:space="preserve"> case.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ind w:start="0" w:hanging="0"/>
      </w:pPr>
    </w:lvl>
    <w:lvl w:ilvl="1">
      <w:start w:val="1"/>
      <w:pStyle w:val="Heading2"/>
      <w:numFmt w:val="lowerLetter"/>
      <w:lvlText w:val="%2."/>
      <w:lvlJc w:val="start"/>
      <w:pPr>
        <w:ind w:start="0" w:hanging="0"/>
      </w:pPr>
    </w:lvl>
    <w:lvl w:ilvl="2">
      <w:start w:val="1"/>
      <w:pStyle w:val="Heading3"/>
      <w:numFmt w:val="lowerRoman"/>
      <w:lvlText w:val="%3."/>
      <w:lvlJc w:val="start"/>
      <w:pPr>
        <w:ind w:start="0" w:hanging="0"/>
      </w:pPr>
    </w:lvl>
    <w:lvl w:ilvl="3">
      <w:start w:val="1"/>
      <w:pStyle w:val="Heading4"/>
      <w:numFmt w:val="decimal"/>
      <w:lvlText w:val="(%4)"/>
      <w:lvlJc w:val="start"/>
      <w:pPr>
        <w:ind w:start="0" w:hanging="0"/>
      </w:pPr>
    </w:lvl>
    <w:lvl w:ilvl="4">
      <w:start w:val="1"/>
      <w:pStyle w:val="Heading5"/>
      <w:numFmt w:val="lowerLetter"/>
      <w:lvlText w:val="(%5)"/>
      <w:lvlJc w:val="start"/>
      <w:pPr>
        <w:ind w:start="0" w:hanging="0"/>
      </w:pPr>
    </w:lvl>
    <w:lvl w:ilvl="5">
      <w:start w:val="1"/>
      <w:pStyle w:val="Heading6"/>
      <w:numFmt w:val="lowerRoman"/>
      <w:lvlText w:val="(%6)"/>
      <w:lvlJc w:val="start"/>
      <w:pPr>
        <w:ind w:start="0" w:hanging="0"/>
      </w:pPr>
    </w:lvl>
    <w:lvl w:ilvl="6">
      <w:start w:val="1"/>
      <w:pStyle w:val="Heading7"/>
      <w:numFmt w:val="decimal"/>
      <w:lvlText w:val="%7)"/>
      <w:lvlJc w:val="start"/>
      <w:pPr>
        <w:ind w:start="0" w:hanging="0"/>
      </w:pPr>
    </w:lvl>
    <w:lvl w:ilvl="7">
      <w:start w:val="1"/>
      <w:pStyle w:val="Heading8"/>
      <w:numFmt w:val="lowerLetter"/>
      <w:lvlText w:val="%8)"/>
      <w:lvlJc w:val="start"/>
      <w:pPr>
        <w:ind w:start="0" w:hanging="0"/>
      </w:pPr>
    </w:lvl>
    <w:lvl w:ilvl="8">
      <w:start w:val="1"/>
      <w:pStyle w:val="Heading9"/>
      <w:numFmt w:val="upperLetter"/>
      <w:lvlText w:val="Exhibit %9"/>
      <w:lvlJc w:val="start"/>
      <w:pPr>
        <w:tabs>
          <w:tab w:val="num" w:pos="36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numFmt w:val="bullet"/>
      <w:lvlText w:val=""/>
      <w:lvlJc w:val="start"/>
      <w:pPr>
        <w:tabs>
          <w:tab w:val="num" w:pos="360"/>
        </w:tabs>
        <w:ind w:start="360" w:hanging="360"/>
      </w:pPr>
      <w:rPr>
        <w:rFonts w:ascii="Symbol" w:hAnsi="Symbol" w:cs="Symbol" w:hint="default"/>
      </w:r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numPr>
        <w:ilvl w:val="0"/>
        <w:numId w:val="1"/>
      </w:numPr>
      <w:spacing w:before="0" w:after="240"/>
      <w:ind w:firstLine="720" w:start="0" w:end="0"/>
      <w:outlineLvl w:val="0"/>
    </w:pPr>
    <w:rPr>
      <w:kern w:val="2"/>
    </w:rPr>
  </w:style>
  <w:style w:type="paragraph" w:styleId="Heading2">
    <w:name w:val="heading 2"/>
    <w:basedOn w:val="Normal"/>
    <w:next w:val="BodyText"/>
    <w:qFormat/>
    <w:pPr>
      <w:numPr>
        <w:ilvl w:val="1"/>
        <w:numId w:val="1"/>
      </w:numPr>
      <w:spacing w:before="0" w:after="240"/>
      <w:ind w:firstLine="720" w:start="720" w:end="0"/>
      <w:outlineLvl w:val="1"/>
    </w:pPr>
    <w:rPr/>
  </w:style>
  <w:style w:type="paragraph" w:styleId="Heading3">
    <w:name w:val="heading 3"/>
    <w:basedOn w:val="Normal"/>
    <w:next w:val="BodyText"/>
    <w:qFormat/>
    <w:pPr>
      <w:numPr>
        <w:ilvl w:val="2"/>
        <w:numId w:val="1"/>
      </w:numPr>
      <w:spacing w:before="0" w:after="240"/>
      <w:ind w:firstLine="720" w:start="1440" w:end="0"/>
      <w:outlineLvl w:val="2"/>
    </w:pPr>
    <w:rPr/>
  </w:style>
  <w:style w:type="paragraph" w:styleId="Heading4">
    <w:name w:val="heading 4"/>
    <w:basedOn w:val="Normal"/>
    <w:next w:val="BodyText"/>
    <w:qFormat/>
    <w:pPr>
      <w:numPr>
        <w:ilvl w:val="3"/>
        <w:numId w:val="1"/>
      </w:numPr>
      <w:spacing w:before="0" w:after="240"/>
      <w:ind w:firstLine="720" w:start="2160" w:end="0"/>
      <w:outlineLvl w:val="3"/>
    </w:pPr>
    <w:rPr/>
  </w:style>
  <w:style w:type="paragraph" w:styleId="Heading5">
    <w:name w:val="heading 5"/>
    <w:basedOn w:val="Normal"/>
    <w:next w:val="BodyText"/>
    <w:qFormat/>
    <w:pPr>
      <w:numPr>
        <w:ilvl w:val="4"/>
        <w:numId w:val="1"/>
      </w:numPr>
      <w:spacing w:before="0" w:after="240"/>
      <w:ind w:firstLine="720" w:start="2880" w:end="0"/>
      <w:outlineLvl w:val="4"/>
    </w:pPr>
    <w:rPr/>
  </w:style>
  <w:style w:type="paragraph" w:styleId="Heading6">
    <w:name w:val="heading 6"/>
    <w:basedOn w:val="Normal"/>
    <w:next w:val="BodyText"/>
    <w:qFormat/>
    <w:pPr>
      <w:numPr>
        <w:ilvl w:val="5"/>
        <w:numId w:val="1"/>
      </w:numPr>
      <w:spacing w:before="0" w:after="240"/>
      <w:ind w:firstLine="720" w:start="3600" w:end="0"/>
      <w:outlineLvl w:val="5"/>
    </w:pPr>
    <w:rPr/>
  </w:style>
  <w:style w:type="paragraph" w:styleId="Heading7">
    <w:name w:val="heading 7"/>
    <w:basedOn w:val="Normal"/>
    <w:next w:val="BodyText"/>
    <w:qFormat/>
    <w:pPr>
      <w:numPr>
        <w:ilvl w:val="6"/>
        <w:numId w:val="1"/>
      </w:numPr>
      <w:spacing w:before="0" w:after="240"/>
      <w:ind w:firstLine="720" w:start="4320" w:end="0"/>
      <w:outlineLvl w:val="6"/>
    </w:pPr>
    <w:rPr/>
  </w:style>
  <w:style w:type="paragraph" w:styleId="Heading8">
    <w:name w:val="heading 8"/>
    <w:basedOn w:val="Normal"/>
    <w:next w:val="BodyText"/>
    <w:qFormat/>
    <w:pPr>
      <w:numPr>
        <w:ilvl w:val="7"/>
        <w:numId w:val="1"/>
      </w:numPr>
      <w:spacing w:before="0" w:after="240"/>
      <w:ind w:firstLine="720" w:start="5040" w:end="0"/>
      <w:outlineLvl w:val="7"/>
    </w:pPr>
    <w:rPr/>
  </w:style>
  <w:style w:type="paragraph" w:styleId="Heading9">
    <w:name w:val="heading 9"/>
    <w:basedOn w:val="Normal"/>
    <w:next w:val="Normal"/>
    <w:qFormat/>
    <w:pPr>
      <w:numPr>
        <w:ilvl w:val="8"/>
        <w:numId w:val="1"/>
      </w:numPr>
      <w:spacing w:before="0" w:after="240"/>
      <w:jc w:val="center"/>
      <w:outlineLvl w:val="8"/>
    </w:pPr>
    <w:rPr>
      <w:b/>
      <w:cap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rFonts w:ascii="Tahoma" w:hAnsi="Tahoma" w:cs="Tahoma"/>
      <w:sz w:val="20"/>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rFonts w:ascii="Arial" w:hAnsi="Arial" w:cs="Arial"/>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0" w:after="240"/>
      <w:jc w:val="center"/>
    </w:pPr>
    <w:rPr>
      <w:b/>
      <w:caps/>
      <w:kern w:val="2"/>
    </w:rPr>
  </w:style>
  <w:style w:type="paragraph" w:styleId="BodyText">
    <w:name w:val="Body Text"/>
    <w:basedOn w:val="Normal"/>
    <w:pPr>
      <w:spacing w:before="0" w:after="240"/>
      <w:ind w:firstLine="1440" w:start="0" w:end="0"/>
    </w:pPr>
    <w:rPr/>
  </w:style>
  <w:style w:type="paragraph" w:styleId="List">
    <w:name w:val="List"/>
    <w:basedOn w:val="Normal"/>
    <w:pPr>
      <w:spacing w:before="0" w:after="240"/>
      <w:ind w:hanging="0" w:start="720" w:end="0"/>
    </w:pPr>
    <w:rPr/>
  </w:style>
  <w:style w:type="paragraph" w:styleId="Caption">
    <w:name w:val="caption"/>
    <w:basedOn w:val="Normal"/>
    <w:next w:val="BodyText"/>
    <w:qFormat/>
    <w:pPr>
      <w:keepNext w:val="true"/>
      <w:spacing w:before="0" w:after="240"/>
    </w:pPr>
    <w:rPr>
      <w:b/>
    </w:rPr>
  </w:style>
  <w:style w:type="paragraph" w:styleId="Index">
    <w:name w:val="Index"/>
    <w:basedOn w:val="Normal"/>
    <w:qFormat/>
    <w:pPr>
      <w:suppressLineNumbers/>
    </w:pPr>
    <w:rPr>
      <w:rFonts w:cs="NotoSans NF"/>
    </w:rPr>
  </w:style>
  <w:style w:type="paragraph" w:styleId="BlockText">
    <w:name w:val="Block Text"/>
    <w:basedOn w:val="Normal"/>
    <w:qFormat/>
    <w:pPr>
      <w:spacing w:before="0" w:after="240"/>
      <w:ind w:hanging="0" w:start="1440" w:end="1440"/>
    </w:pPr>
    <w:rPr/>
  </w:style>
  <w:style w:type="paragraph" w:styleId="BlockText2">
    <w:name w:val="Block Text 2"/>
    <w:basedOn w:val="Normal"/>
    <w:qFormat/>
    <w:pPr>
      <w:spacing w:lineRule="auto" w:line="480"/>
      <w:ind w:hanging="0" w:start="1440" w:end="1440"/>
    </w:pPr>
    <w:rPr/>
  </w:style>
  <w:style w:type="paragraph" w:styleId="BlockText3">
    <w:name w:val="Block Text 3"/>
    <w:basedOn w:val="Normal"/>
    <w:qFormat/>
    <w:pPr>
      <w:spacing w:before="0" w:after="240"/>
      <w:ind w:firstLine="720" w:start="1440" w:end="1440"/>
    </w:pPr>
    <w:rPr/>
  </w:style>
  <w:style w:type="paragraph" w:styleId="BlockText4">
    <w:name w:val="Block Text 4"/>
    <w:basedOn w:val="Normal"/>
    <w:qFormat/>
    <w:pPr>
      <w:spacing w:lineRule="auto" w:line="480"/>
      <w:ind w:firstLine="720" w:start="1440" w:end="1440"/>
    </w:pPr>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pPr>
    <w:rPr/>
  </w:style>
  <w:style w:type="paragraph" w:styleId="BodyText4">
    <w:name w:val="Body Text 4"/>
    <w:basedOn w:val="Normal"/>
    <w:qFormat/>
    <w:pPr>
      <w:spacing w:lineRule="auto" w:line="480"/>
    </w:pPr>
    <w:rPr/>
  </w:style>
  <w:style w:type="paragraph" w:styleId="BodyTextFirstIndent">
    <w:name w:val="Body Text First Indent"/>
    <w:basedOn w:val="Normal"/>
    <w:qFormat/>
    <w:pPr>
      <w:spacing w:before="0" w:after="240"/>
      <w:ind w:firstLine="720" w:start="0" w:end="0"/>
    </w:pPr>
    <w:rPr/>
  </w:style>
  <w:style w:type="paragraph" w:styleId="WW-BodyText2">
    <w:name w:val="WW-Body Text 2"/>
    <w:basedOn w:val="Normal"/>
    <w:qFormat/>
    <w:pPr>
      <w:spacing w:before="0" w:after="240"/>
      <w:ind w:hanging="0" w:start="720" w:end="720"/>
    </w:pPr>
    <w:rPr/>
  </w:style>
  <w:style w:type="paragraph" w:styleId="BodyTextFirstIndent2">
    <w:name w:val="Body Text First Indent 2"/>
    <w:basedOn w:val="Normal"/>
    <w:qFormat/>
    <w:pPr>
      <w:spacing w:lineRule="auto" w:line="480"/>
      <w:ind w:firstLine="720" w:start="0" w:end="0"/>
    </w:pPr>
    <w:rPr/>
  </w:style>
  <w:style w:type="paragraph" w:styleId="BodyTextFirstIndent3">
    <w:name w:val="Body Text First Indent 3"/>
    <w:basedOn w:val="Normal"/>
    <w:qFormat/>
    <w:pPr>
      <w:spacing w:lineRule="auto" w:line="360"/>
      <w:ind w:firstLine="720" w:start="0" w:end="0"/>
    </w:pPr>
    <w:rPr/>
  </w:style>
  <w:style w:type="paragraph" w:styleId="BodyTextIndent2">
    <w:name w:val="Body Text Indent 2"/>
    <w:basedOn w:val="Normal"/>
    <w:qFormat/>
    <w:pPr>
      <w:spacing w:lineRule="auto" w:line="480"/>
      <w:ind w:hanging="0" w:start="720" w:end="720"/>
    </w:pPr>
    <w:rPr/>
  </w:style>
  <w:style w:type="paragraph" w:styleId="BodyTextIndent3">
    <w:name w:val="Body Text Indent 3"/>
    <w:basedOn w:val="Normal"/>
    <w:qFormat/>
    <w:pPr>
      <w:spacing w:before="0" w:after="240"/>
      <w:ind w:firstLine="720" w:start="720" w:end="0"/>
    </w:pPr>
    <w:rPr/>
  </w:style>
  <w:style w:type="paragraph" w:styleId="BodyTextIndent4">
    <w:name w:val="Body Text Indent 4"/>
    <w:basedOn w:val="Normal"/>
    <w:qFormat/>
    <w:pPr>
      <w:spacing w:lineRule="auto" w:line="480"/>
      <w:ind w:hanging="0" w:start="720" w:end="720"/>
    </w:pPr>
    <w:rPr/>
  </w:style>
  <w:style w:type="paragraph" w:styleId="Closing">
    <w:name w:val="Closing"/>
    <w:basedOn w:val="Normal"/>
    <w:qFormat/>
    <w:pPr>
      <w:keepLines/>
      <w:ind w:hanging="0" w:start="4680" w:end="0"/>
    </w:pPr>
    <w:rPr/>
  </w:style>
  <w:style w:type="paragraph" w:styleId="CommentText">
    <w:name w:val="Comment Text"/>
    <w:basedOn w:val="Normal"/>
    <w:qFormat/>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120"/>
      <w:ind w:firstLine="720" w:start="0" w:end="0"/>
    </w:pPr>
    <w:rPr/>
  </w:style>
  <w:style w:type="paragraph" w:styleId="FrameDateandTime">
    <w:name w:val="Frame Date and Time"/>
    <w:basedOn w:val="Footer"/>
    <w:qFormat/>
    <w:pPr/>
    <w:rPr>
      <w:rFonts w:ascii="Arial" w:hAnsi="Arial" w:cs="Arial"/>
      <w:sz w:val="16"/>
    </w:rPr>
  </w:style>
  <w:style w:type="paragraph" w:styleId="FramePageNumber">
    <w:name w:val="Frame Page Number"/>
    <w:basedOn w:val="Footer"/>
    <w:qFormat/>
    <w:pPr/>
    <w:rPr/>
  </w:style>
  <w:style w:type="paragraph" w:styleId="Hanging">
    <w:name w:val="Hanging"/>
    <w:basedOn w:val="Normal"/>
    <w:qFormat/>
    <w:pPr>
      <w:spacing w:before="0" w:after="240"/>
      <w:ind w:hanging="1440" w:start="1440" w:end="0"/>
    </w:pPr>
    <w:rPr/>
  </w:style>
  <w:style w:type="paragraph" w:styleId="Header">
    <w:name w:val="header"/>
    <w:basedOn w:val="Normal"/>
    <w:pPr>
      <w:tabs>
        <w:tab w:val="clear" w:pos="720"/>
        <w:tab w:val="center" w:pos="4680" w:leader="none"/>
        <w:tab w:val="right" w:pos="9360" w:leader="none"/>
      </w:tabs>
    </w:pPr>
    <w:rPr/>
  </w:style>
  <w:style w:type="paragraph" w:styleId="HIDDEN">
    <w:name w:val="HIDDEN"/>
    <w:basedOn w:val="Normal"/>
    <w:next w:val="Normal"/>
    <w:qFormat/>
    <w:pPr>
      <w:widowControl w:val="false"/>
    </w:pPr>
    <w:rPr>
      <w:vanish/>
      <w:lang w:val="en-CA" w:eastAsia="en-CA"/>
    </w:rPr>
  </w:style>
  <w:style w:type="paragraph" w:styleId="Index1">
    <w:name w:val="index 1"/>
    <w:basedOn w:val="Normal"/>
    <w:next w:val="Normal"/>
    <w:pPr>
      <w:ind w:hanging="245" w:start="245" w:end="0"/>
    </w:pPr>
    <w:rPr/>
  </w:style>
  <w:style w:type="paragraph" w:styleId="Index2">
    <w:name w:val="index 2"/>
    <w:basedOn w:val="Normal"/>
    <w:next w:val="Normal"/>
    <w:pPr>
      <w:ind w:hanging="245" w:start="490" w:end="0"/>
    </w:pPr>
    <w:rPr/>
  </w:style>
  <w:style w:type="paragraph" w:styleId="Index3">
    <w:name w:val="index 3"/>
    <w:basedOn w:val="Normal"/>
    <w:next w:val="Normal"/>
    <w:pPr>
      <w:ind w:hanging="245" w:start="720" w:end="0"/>
    </w:pPr>
    <w:rPr/>
  </w:style>
  <w:style w:type="paragraph" w:styleId="Index4">
    <w:name w:val="Index 4"/>
    <w:basedOn w:val="Normal"/>
    <w:next w:val="Normal"/>
    <w:qFormat/>
    <w:pPr>
      <w:ind w:hanging="245" w:start="965" w:end="0"/>
    </w:pPr>
    <w:rPr/>
  </w:style>
  <w:style w:type="paragraph" w:styleId="Index5">
    <w:name w:val="Index 5"/>
    <w:basedOn w:val="Normal"/>
    <w:next w:val="Normal"/>
    <w:qFormat/>
    <w:pPr>
      <w:ind w:hanging="245" w:start="1210" w:end="0"/>
    </w:pPr>
    <w:rPr/>
  </w:style>
  <w:style w:type="paragraph" w:styleId="Index6">
    <w:name w:val="Index 6"/>
    <w:basedOn w:val="Normal"/>
    <w:next w:val="Normal"/>
    <w:qFormat/>
    <w:pPr>
      <w:ind w:hanging="245" w:start="1440" w:end="0"/>
    </w:pPr>
    <w:rPr/>
  </w:style>
  <w:style w:type="paragraph" w:styleId="Index7">
    <w:name w:val="Index 7"/>
    <w:basedOn w:val="Normal"/>
    <w:next w:val="Normal"/>
    <w:qFormat/>
    <w:pPr>
      <w:ind w:hanging="245" w:start="1685" w:end="0"/>
    </w:pPr>
    <w:rPr/>
  </w:style>
  <w:style w:type="paragraph" w:styleId="Index8">
    <w:name w:val="Index 8"/>
    <w:basedOn w:val="Normal"/>
    <w:next w:val="Normal"/>
    <w:qFormat/>
    <w:pPr>
      <w:ind w:hanging="245" w:start="1930" w:end="0"/>
    </w:pPr>
    <w:rPr/>
  </w:style>
  <w:style w:type="paragraph" w:styleId="Index9">
    <w:name w:val="Index 9"/>
    <w:basedOn w:val="Normal"/>
    <w:next w:val="Normal"/>
    <w:qFormat/>
    <w:pPr>
      <w:ind w:hanging="245" w:start="2160" w:end="0"/>
    </w:pPr>
    <w:rPr/>
  </w:style>
  <w:style w:type="paragraph" w:styleId="IndexHeading">
    <w:name w:val="index heading"/>
    <w:basedOn w:val="Normal"/>
    <w:next w:val="Index1"/>
    <w:pPr/>
    <w:rPr>
      <w:b/>
    </w:rPr>
  </w:style>
  <w:style w:type="paragraph" w:styleId="ListBullet2">
    <w:name w:val="List Bullet 2"/>
    <w:basedOn w:val="Normal"/>
    <w:pPr>
      <w:spacing w:before="0" w:after="240"/>
      <w:ind w:hanging="0" w:start="1440" w:end="0"/>
    </w:pPr>
    <w:rPr/>
  </w:style>
  <w:style w:type="paragraph" w:styleId="ListBullet3">
    <w:name w:val="List Bullet 3"/>
    <w:basedOn w:val="Normal"/>
    <w:pPr>
      <w:spacing w:before="0" w:after="240"/>
      <w:ind w:hanging="0" w:start="2160" w:end="0"/>
    </w:pPr>
    <w:rPr/>
  </w:style>
  <w:style w:type="paragraph" w:styleId="ListBullet4">
    <w:name w:val="List Bullet 4"/>
    <w:basedOn w:val="Normal"/>
    <w:pPr>
      <w:spacing w:before="0" w:after="240"/>
      <w:ind w:hanging="0" w:start="2880" w:end="0"/>
    </w:pPr>
    <w:rPr/>
  </w:style>
  <w:style w:type="paragraph" w:styleId="ListBullet5">
    <w:name w:val="List Bullet 5"/>
    <w:basedOn w:val="Normal"/>
    <w:pPr>
      <w:spacing w:before="0" w:after="240"/>
      <w:ind w:hanging="0" w:start="3600" w:end="0"/>
    </w:pPr>
    <w:rPr/>
  </w:style>
  <w:style w:type="paragraph" w:styleId="ListBullet">
    <w:name w:val="List Bullet"/>
    <w:basedOn w:val="Normal"/>
    <w:qFormat/>
    <w:pPr>
      <w:numPr>
        <w:ilvl w:val="0"/>
        <w:numId w:val="8"/>
      </w:numPr>
      <w:spacing w:before="0" w:after="240"/>
      <w:ind w:hanging="720" w:start="720" w:end="0"/>
    </w:pPr>
    <w:rPr/>
  </w:style>
  <w:style w:type="paragraph" w:styleId="ListBullet21">
    <w:name w:val="List Bullet 21"/>
    <w:basedOn w:val="Normal"/>
    <w:qFormat/>
    <w:pPr>
      <w:numPr>
        <w:ilvl w:val="0"/>
        <w:numId w:val="9"/>
      </w:numPr>
      <w:spacing w:before="0" w:after="240"/>
      <w:ind w:hanging="720" w:start="1440" w:end="0"/>
    </w:pPr>
    <w:rPr/>
  </w:style>
  <w:style w:type="paragraph" w:styleId="ListBullet31">
    <w:name w:val="List Bullet 31"/>
    <w:basedOn w:val="Normal"/>
    <w:qFormat/>
    <w:pPr>
      <w:numPr>
        <w:ilvl w:val="0"/>
        <w:numId w:val="10"/>
      </w:numPr>
      <w:spacing w:before="0" w:after="240"/>
      <w:ind w:hanging="720" w:start="2160" w:end="0"/>
    </w:pPr>
    <w:rPr/>
  </w:style>
  <w:style w:type="paragraph" w:styleId="ListBullet41">
    <w:name w:val="List Bullet 41"/>
    <w:basedOn w:val="Normal"/>
    <w:qFormat/>
    <w:pPr>
      <w:numPr>
        <w:ilvl w:val="0"/>
        <w:numId w:val="11"/>
      </w:numPr>
      <w:spacing w:before="0" w:after="240"/>
      <w:ind w:hanging="720" w:start="2880" w:end="0"/>
    </w:pPr>
    <w:rPr/>
  </w:style>
  <w:style w:type="paragraph" w:styleId="ListBullet51">
    <w:name w:val="List Bullet 51"/>
    <w:basedOn w:val="Normal"/>
    <w:qFormat/>
    <w:pPr>
      <w:numPr>
        <w:ilvl w:val="0"/>
        <w:numId w:val="12"/>
      </w:numPr>
      <w:spacing w:before="0" w:after="240"/>
      <w:ind w:hanging="720" w:start="3600" w:end="0"/>
    </w:pPr>
    <w:rPr/>
  </w:style>
  <w:style w:type="paragraph" w:styleId="ListContinue">
    <w:name w:val="List Continue"/>
    <w:basedOn w:val="Normal"/>
    <w:qFormat/>
    <w:pPr>
      <w:spacing w:before="0" w:after="240"/>
      <w:ind w:hanging="0" w:start="720" w:end="0"/>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firstLine="1440" w:start="0" w:end="0"/>
    </w:pPr>
    <w:rPr/>
  </w:style>
  <w:style w:type="paragraph" w:styleId="ListContinue5">
    <w:name w:val="List Continue 5"/>
    <w:basedOn w:val="Normal"/>
    <w:qFormat/>
    <w:pPr>
      <w:spacing w:before="0" w:after="240"/>
      <w:ind w:firstLine="2160" w:start="0" w:end="0"/>
    </w:pPr>
    <w:rPr/>
  </w:style>
  <w:style w:type="paragraph" w:styleId="ListNumber">
    <w:name w:val="List Number"/>
    <w:basedOn w:val="Normal"/>
    <w:qFormat/>
    <w:pPr>
      <w:numPr>
        <w:ilvl w:val="0"/>
        <w:numId w:val="13"/>
      </w:numPr>
      <w:spacing w:before="0" w:after="240"/>
      <w:ind w:hanging="720" w:start="720" w:end="0"/>
    </w:pPr>
    <w:rPr/>
  </w:style>
  <w:style w:type="paragraph" w:styleId="ListNumber2">
    <w:name w:val="List Number 2"/>
    <w:basedOn w:val="Normal"/>
    <w:qFormat/>
    <w:pPr>
      <w:numPr>
        <w:ilvl w:val="0"/>
        <w:numId w:val="14"/>
      </w:numPr>
      <w:spacing w:before="0" w:after="240"/>
      <w:ind w:hanging="720" w:start="1440" w:end="0"/>
    </w:pPr>
    <w:rPr/>
  </w:style>
  <w:style w:type="paragraph" w:styleId="ListNumber3">
    <w:name w:val="List Number 3"/>
    <w:basedOn w:val="Normal"/>
    <w:qFormat/>
    <w:pPr>
      <w:numPr>
        <w:ilvl w:val="0"/>
        <w:numId w:val="15"/>
      </w:numPr>
      <w:spacing w:before="0" w:after="240"/>
      <w:ind w:hanging="720" w:start="2160" w:end="0"/>
    </w:pPr>
    <w:rPr/>
  </w:style>
  <w:style w:type="paragraph" w:styleId="ListNumber4">
    <w:name w:val="List Number 4"/>
    <w:basedOn w:val="Normal"/>
    <w:qFormat/>
    <w:pPr>
      <w:numPr>
        <w:ilvl w:val="0"/>
        <w:numId w:val="16"/>
      </w:numPr>
      <w:spacing w:before="0" w:after="240"/>
      <w:ind w:firstLine="720" w:start="0" w:end="0"/>
    </w:pPr>
    <w:rPr/>
  </w:style>
  <w:style w:type="paragraph" w:styleId="ListNumber5">
    <w:name w:val="List Number 5"/>
    <w:basedOn w:val="Normal"/>
    <w:qFormat/>
    <w:pPr>
      <w:numPr>
        <w:ilvl w:val="0"/>
        <w:numId w:val="17"/>
      </w:numPr>
      <w:spacing w:before="0" w:after="240"/>
      <w:ind w:firstLine="1440" w:start="0" w:end="0"/>
    </w:pPr>
    <w:rPr/>
  </w:style>
  <w:style w:type="paragraph" w:styleId="ListNumberA">
    <w:name w:val="List Number A"/>
    <w:basedOn w:val="Normal"/>
    <w:qFormat/>
    <w:pPr>
      <w:numPr>
        <w:ilvl w:val="0"/>
        <w:numId w:val="18"/>
      </w:numPr>
      <w:spacing w:before="0" w:after="240"/>
      <w:ind w:firstLine="1440" w:start="0" w:end="0"/>
    </w:pPr>
    <w:rPr/>
  </w:style>
  <w:style w:type="paragraph" w:styleId="MacroText">
    <w:name w:val="Macro Text"/>
    <w:qFormat/>
    <w:pPr>
      <w:widowControl/>
      <w:tabs>
        <w:tab w:val="clear" w:pos="720"/>
        <w:tab w:val="left" w:pos="475"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1440" w:end="0"/>
    </w:pPr>
    <w:rPr/>
  </w:style>
  <w:style w:type="paragraph" w:styleId="NoteHeading">
    <w:name w:val="Note Heading"/>
    <w:basedOn w:val="Normal"/>
    <w:next w:val="Normal"/>
    <w:qFormat/>
    <w:pPr/>
    <w:rPr/>
  </w:style>
  <w:style w:type="paragraph" w:styleId="Para1">
    <w:name w:val="Para1"/>
    <w:basedOn w:val="Normal"/>
    <w:qFormat/>
    <w:pPr>
      <w:spacing w:before="0" w:after="240"/>
      <w:ind w:firstLine="1440" w:start="0" w:end="0"/>
    </w:pPr>
    <w:rPr/>
  </w:style>
  <w:style w:type="paragraph" w:styleId="Para2">
    <w:name w:val="Para2"/>
    <w:basedOn w:val="Normal"/>
    <w:qFormat/>
    <w:pPr>
      <w:spacing w:before="0" w:after="240"/>
      <w:ind w:firstLine="1440" w:start="720" w:end="0"/>
    </w:pPr>
    <w:rPr/>
  </w:style>
  <w:style w:type="paragraph" w:styleId="Para3">
    <w:name w:val="Para3"/>
    <w:basedOn w:val="Normal"/>
    <w:qFormat/>
    <w:pPr>
      <w:spacing w:before="0" w:after="240"/>
      <w:ind w:firstLine="1440" w:start="1440" w:end="0"/>
    </w:pPr>
    <w:rPr/>
  </w:style>
  <w:style w:type="paragraph" w:styleId="Para4">
    <w:name w:val="Para4"/>
    <w:basedOn w:val="Normal"/>
    <w:qFormat/>
    <w:pPr>
      <w:spacing w:before="0" w:after="240"/>
      <w:ind w:firstLine="1440" w:start="2160" w:end="0"/>
    </w:pPr>
    <w:rPr/>
  </w:style>
  <w:style w:type="paragraph" w:styleId="Para5">
    <w:name w:val="Para5"/>
    <w:basedOn w:val="Normal"/>
    <w:qFormat/>
    <w:pPr>
      <w:spacing w:before="0" w:after="240"/>
      <w:ind w:firstLine="1440" w:start="2880" w:end="0"/>
    </w:pPr>
    <w:rPr/>
  </w:style>
  <w:style w:type="paragraph" w:styleId="Para6">
    <w:name w:val="Para6"/>
    <w:basedOn w:val="Normal"/>
    <w:qFormat/>
    <w:pPr>
      <w:spacing w:before="0" w:after="240"/>
      <w:ind w:firstLine="1440" w:start="3600" w:end="0"/>
    </w:pPr>
    <w:rPr/>
  </w:style>
  <w:style w:type="paragraph" w:styleId="Para7">
    <w:name w:val="Para7"/>
    <w:basedOn w:val="Normal"/>
    <w:qFormat/>
    <w:pPr>
      <w:spacing w:before="0" w:after="240"/>
      <w:ind w:firstLine="1440" w:start="4320" w:end="0"/>
    </w:pPr>
    <w:rPr/>
  </w:style>
  <w:style w:type="paragraph" w:styleId="Para8">
    <w:name w:val="Para8"/>
    <w:basedOn w:val="Normal"/>
    <w:qFormat/>
    <w:pPr>
      <w:spacing w:before="0" w:after="240"/>
      <w:ind w:firstLine="1440" w:start="5040" w:end="0"/>
    </w:pPr>
    <w:rPr/>
  </w:style>
  <w:style w:type="paragraph" w:styleId="Para9">
    <w:name w:val="Para9"/>
    <w:basedOn w:val="Normal"/>
    <w:qFormat/>
    <w:pPr>
      <w:spacing w:before="0" w:after="240"/>
      <w:ind w:firstLine="1440" w:start="5760" w:end="0"/>
    </w:pPr>
    <w:rPr/>
  </w:style>
  <w:style w:type="paragraph" w:styleId="PlainText">
    <w:name w:val="Plain Text"/>
    <w:basedOn w:val="Normal"/>
    <w:qFormat/>
    <w:pPr/>
    <w:rPr>
      <w:sz w:val="20"/>
    </w:rPr>
  </w:style>
  <w:style w:type="paragraph" w:styleId="Salutation">
    <w:name w:val="Salutation"/>
    <w:basedOn w:val="Normal"/>
    <w:next w:val="Normal"/>
    <w:qFormat/>
    <w:pPr>
      <w:spacing w:before="0" w:after="240"/>
    </w:pPr>
    <w:rPr/>
  </w:style>
  <w:style w:type="paragraph" w:styleId="Signature">
    <w:name w:val="Signature"/>
    <w:basedOn w:val="Normal"/>
    <w:pPr>
      <w:keepLines/>
      <w:ind w:hanging="0" w:start="4680" w:end="0"/>
    </w:pPr>
    <w:rPr/>
  </w:style>
  <w:style w:type="paragraph" w:styleId="Subtitle">
    <w:name w:val="Subtitle"/>
    <w:basedOn w:val="Normal"/>
    <w:next w:val="BodyText"/>
    <w:qFormat/>
    <w:pPr>
      <w:keepNext w:val="true"/>
      <w:spacing w:before="0" w:after="240"/>
      <w:jc w:val="center"/>
    </w:pPr>
    <w:rPr>
      <w:b/>
    </w:rPr>
  </w:style>
  <w:style w:type="paragraph" w:styleId="SubtitleUnderline">
    <w:name w:val="Subtitle Underline"/>
    <w:basedOn w:val="Subtitle"/>
    <w:next w:val="BodyText"/>
    <w:qFormat/>
    <w:pPr/>
    <w:rPr>
      <w:u w:val="single"/>
    </w:rPr>
  </w:style>
  <w:style w:type="paragraph" w:styleId="TableofAuthorities">
    <w:name w:val="Table of Authorities"/>
    <w:basedOn w:val="Normal"/>
    <w:next w:val="Normal"/>
    <w:qFormat/>
    <w:pPr>
      <w:spacing w:before="0" w:after="240"/>
      <w:ind w:hanging="360" w:start="360" w:end="0"/>
    </w:pPr>
    <w:rPr/>
  </w:style>
  <w:style w:type="paragraph" w:styleId="TableofFigures">
    <w:name w:val="Table of Figures"/>
    <w:basedOn w:val="Normal"/>
    <w:next w:val="Normal"/>
    <w:qFormat/>
    <w:pPr>
      <w:spacing w:before="0" w:after="240"/>
      <w:ind w:hanging="720" w:start="720" w:end="0"/>
    </w:pPr>
    <w:rPr/>
  </w:style>
  <w:style w:type="paragraph" w:styleId="TitleUnderline">
    <w:name w:val="Title Underline"/>
    <w:basedOn w:val="Heading"/>
    <w:next w:val="BodyText"/>
    <w:qFormat/>
    <w:pPr/>
    <w:rPr>
      <w:u w:val="single"/>
    </w:rPr>
  </w:style>
  <w:style w:type="paragraph" w:styleId="TOAHeading">
    <w:name w:val="TOA Heading"/>
    <w:basedOn w:val="Normal"/>
    <w:next w:val="Normal"/>
    <w:qFormat/>
    <w:pPr>
      <w:spacing w:before="0" w:after="240"/>
    </w:pPr>
    <w:rPr>
      <w:b/>
      <w:caps/>
    </w:rPr>
  </w:style>
  <w:style w:type="paragraph" w:styleId="TOC1">
    <w:name w:val="toc 1"/>
    <w:basedOn w:val="Normal"/>
    <w:next w:val="Normal"/>
    <w:pPr>
      <w:spacing w:before="240" w:after="0"/>
      <w:ind w:hanging="720" w:start="720" w:end="720"/>
    </w:pPr>
    <w:rPr/>
  </w:style>
  <w:style w:type="paragraph" w:styleId="TOC2">
    <w:name w:val="toc 2"/>
    <w:basedOn w:val="Normal"/>
    <w:next w:val="Normal"/>
    <w:pPr>
      <w:ind w:hanging="720" w:start="1440" w:end="720"/>
    </w:pPr>
    <w:rPr/>
  </w:style>
  <w:style w:type="paragraph" w:styleId="TOC3">
    <w:name w:val="toc 3"/>
    <w:basedOn w:val="Normal"/>
    <w:next w:val="Normal"/>
    <w:pPr>
      <w:ind w:hanging="720" w:start="2160" w:end="720"/>
    </w:pPr>
    <w:rPr/>
  </w:style>
  <w:style w:type="paragraph" w:styleId="TOC4">
    <w:name w:val="toc 4"/>
    <w:basedOn w:val="Normal"/>
    <w:next w:val="Normal"/>
    <w:pPr>
      <w:ind w:hanging="720" w:start="2880" w:end="720"/>
    </w:pPr>
    <w:rPr/>
  </w:style>
  <w:style w:type="paragraph" w:styleId="TOC5">
    <w:name w:val="toc 5"/>
    <w:basedOn w:val="Normal"/>
    <w:next w:val="Normal"/>
    <w:pPr>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Level1">
    <w:name w:val="Level 1"/>
    <w:basedOn w:val="Normal"/>
    <w:qFormat/>
    <w:pPr>
      <w:spacing w:before="0" w:after="240"/>
      <w:ind w:firstLine="720" w:start="0" w:end="0"/>
    </w:pPr>
    <w:rPr/>
  </w:style>
  <w:style w:type="paragraph" w:styleId="Level2">
    <w:name w:val="Level 2"/>
    <w:basedOn w:val="Normal"/>
    <w:qFormat/>
    <w:pPr>
      <w:spacing w:before="0" w:after="240"/>
      <w:ind w:firstLine="720" w:start="720" w:end="0"/>
    </w:pPr>
    <w:rPr/>
  </w:style>
  <w:style w:type="paragraph" w:styleId="Level3">
    <w:name w:val="Level 3"/>
    <w:basedOn w:val="Normal"/>
    <w:qFormat/>
    <w:pPr>
      <w:spacing w:before="0" w:after="240"/>
      <w:ind w:firstLine="720" w:start="1440" w:end="0"/>
    </w:pPr>
    <w:rPr/>
  </w:style>
  <w:style w:type="paragraph" w:styleId="Level4">
    <w:name w:val="Level 4"/>
    <w:basedOn w:val="Normal"/>
    <w:qFormat/>
    <w:pPr>
      <w:spacing w:before="0" w:after="240"/>
      <w:ind w:firstLine="720" w:start="2160" w:end="0"/>
    </w:pPr>
    <w:rPr/>
  </w:style>
  <w:style w:type="paragraph" w:styleId="Level5">
    <w:name w:val="Level 5"/>
    <w:basedOn w:val="Normal"/>
    <w:qFormat/>
    <w:pPr>
      <w:spacing w:before="0" w:after="240"/>
      <w:ind w:firstLine="720" w:start="2880" w:end="0"/>
    </w:pPr>
    <w:rPr/>
  </w:style>
  <w:style w:type="paragraph" w:styleId="Level6">
    <w:name w:val="Level 6"/>
    <w:basedOn w:val="Normal"/>
    <w:qFormat/>
    <w:pPr>
      <w:spacing w:before="0" w:after="240"/>
      <w:ind w:firstLine="720" w:start="3600" w:end="0"/>
    </w:pPr>
    <w:rPr/>
  </w:style>
  <w:style w:type="paragraph" w:styleId="Level7">
    <w:name w:val="Level 7"/>
    <w:basedOn w:val="Normal"/>
    <w:qFormat/>
    <w:pPr>
      <w:spacing w:before="0" w:after="240"/>
      <w:ind w:firstLine="720" w:start="4320" w:end="0"/>
    </w:pPr>
    <w:rPr/>
  </w:style>
  <w:style w:type="paragraph" w:styleId="Level8">
    <w:name w:val="Level 8"/>
    <w:basedOn w:val="Normal"/>
    <w:qFormat/>
    <w:pPr>
      <w:spacing w:before="0" w:after="240"/>
      <w:ind w:firstLine="720" w:start="5040" w:end="0"/>
    </w:pPr>
    <w:rPr/>
  </w:style>
  <w:style w:type="paragraph" w:styleId="Level9">
    <w:name w:val="Level 9"/>
    <w:basedOn w:val="Normal"/>
    <w:qFormat/>
    <w:pPr>
      <w:spacing w:before="0" w:after="240"/>
      <w:ind w:firstLine="720" w:start="5760" w:end="0"/>
    </w:pPr>
    <w:rPr/>
  </w:style>
  <w:style w:type="paragraph" w:styleId="SingleHanging">
    <w:name w:val="Single Hanging"/>
    <w:basedOn w:val="Normal"/>
    <w:qFormat/>
    <w:pPr>
      <w:spacing w:before="240" w:after="0"/>
      <w:ind w:hanging="720" w:start="720" w:end="0"/>
    </w:pPr>
    <w:rPr>
      <w:rFonts w:ascii="CG Omega" w:hAnsi="CG Omega" w:cs="CG Omeg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 w:type="numbering" w:styleId="WW8StyleNum10">
    <w:name w:val="WW8Style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hyperlink" Target="mailto:sbrown@foleylaw.com"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2001-10-15T10:44:00Z</dcterms:created>
  <dc:creator>Catherine Watson</dc:creator>
  <dc:description/>
  <cp:keywords>002.651500</cp:keywords>
  <dc:language>en-CA</dc:language>
  <cp:lastModifiedBy>Technology Department</cp:lastModifiedBy>
  <cp:lastPrinted>2001-10-30T11:25:00Z</cp:lastPrinted>
  <dcterms:modified xsi:type="dcterms:W3CDTF">2001-10-29T17:39:00Z</dcterms:modified>
  <cp:revision>78</cp:revision>
  <dc:subject/>
  <dc:title>.1</dc:title>
</cp:coreProperties>
</file>