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word/footer11.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notes.xml" ContentType="application/vnd.openxmlformats-officedocument.wordprocessingml.footnotes+xml"/>
  <Override PartName="/word/footer8.xml" ContentType="application/vnd.openxmlformats-officedocument.wordprocessingml.footer+xml"/>
  <Override PartName="/word/footer10.xml" ContentType="application/vnd.openxmlformats-officedocument.wordprocessingml.footer+xml"/>
  <Override PartName="/word/numbering.xml" ContentType="application/vnd.openxmlformats-officedocument.wordprocessingml.numbering+xml"/>
  <Override PartName="/word/footer9.xml" ContentType="application/vnd.openxmlformats-officedocument.wordprocessingml.footer+xml"/>
  <Override PartName="/word/theme/theme1.xml" ContentType="application/vnd.openxmlformats-officedocument.theme+xml"/>
  <Override PartName="/word/footer6.xml" ContentType="application/vnd.openxmlformats-officedocument.wordprocessingml.footer+xml"/>
  <Override PartName="/word/header9.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1.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55" w:type="dxa"/>
        <w:jc w:val="start"/>
        <w:tblInd w:w="0" w:type="dxa"/>
        <w:tblLayout w:type="fixed"/>
        <w:tblCellMar>
          <w:top w:w="0" w:type="dxa"/>
          <w:start w:w="108" w:type="dxa"/>
          <w:bottom w:w="0" w:type="dxa"/>
          <w:end w:w="108" w:type="dxa"/>
        </w:tblCellMar>
      </w:tblPr>
      <w:tblGrid>
        <w:gridCol w:w="1247"/>
        <w:gridCol w:w="6237"/>
        <w:gridCol w:w="1237"/>
        <w:gridCol w:w="33"/>
        <w:gridCol w:w="1"/>
      </w:tblGrid>
      <w:tr>
        <w:trPr>
          <w:trHeight w:val="1134" w:hRule="atLeast"/>
        </w:trPr>
        <w:tc>
          <w:tcPr>
            <w:tcW w:w="8721" w:type="dxa"/>
            <w:gridSpan w:val="3"/>
            <w:tcBorders/>
          </w:tcPr>
          <w:p>
            <w:pPr>
              <w:pStyle w:val="Normal"/>
              <w:spacing w:before="0" w:after="0"/>
              <w:jc w:val="end"/>
              <w:rPr/>
            </w:pPr>
            <w:r>
              <w:rPr>
                <w:vanish/>
                <w:sz w:val="18"/>
              </w:rPr>
              <w:t>Marked to show changes from Draft: #</w:t>
            </w:r>
            <w:r>
              <w:rPr>
                <w:sz w:val="18"/>
              </w:rPr>
              <w:t xml:space="preserve">   </w:t>
            </w:r>
          </w:p>
        </w:tc>
        <w:tc>
          <w:tcPr>
            <w:tcW w:w="34" w:type="dxa"/>
            <w:tcBorders/>
            <w:tcMar>
              <w:start w:w="0" w:type="dxa"/>
              <w:end w:w="0" w:type="dxa"/>
            </w:tcMar>
          </w:tcPr>
          <w:p>
            <w:pPr>
              <w:pStyle w:val="Normal"/>
              <w:snapToGrid w:val="false"/>
              <w:spacing w:before="0" w:after="240"/>
              <w:rPr>
                <w:sz w:val="18"/>
              </w:rPr>
            </w:pPr>
            <w:r>
              <w:rPr>
                <w:sz w:val="18"/>
              </w:rPr>
            </w:r>
          </w:p>
        </w:tc>
      </w:tr>
      <w:tr>
        <w:trPr>
          <w:trHeight w:val="1134" w:hRule="atLeast"/>
        </w:trPr>
        <w:tc>
          <w:tcPr>
            <w:tcW w:w="8721" w:type="dxa"/>
            <w:gridSpan w:val="3"/>
            <w:tcBorders/>
          </w:tcPr>
          <w:p>
            <w:pPr>
              <w:pStyle w:val="Titleoftrans"/>
              <w:spacing w:before="0" w:after="0"/>
              <w:rPr/>
            </w:pPr>
            <w:r>
              <w:rPr/>
              <w:t>STRICTLY PRIVATE AND CONFIDENTIAL</w:t>
            </w:r>
          </w:p>
        </w:tc>
        <w:tc>
          <w:tcPr>
            <w:tcW w:w="34" w:type="dxa"/>
            <w:tcBorders/>
            <w:tcMar>
              <w:start w:w="0" w:type="dxa"/>
              <w:end w:w="0" w:type="dxa"/>
            </w:tcMar>
          </w:tcPr>
          <w:p>
            <w:pPr>
              <w:pStyle w:val="Normal"/>
              <w:snapToGrid w:val="false"/>
              <w:spacing w:before="0" w:after="240"/>
              <w:rPr/>
            </w:pPr>
            <w:r>
              <w:rPr/>
            </w:r>
          </w:p>
        </w:tc>
      </w:tr>
      <w:tr>
        <w:trPr>
          <w:trHeight w:val="1600" w:hRule="atLeast"/>
        </w:trPr>
        <w:tc>
          <w:tcPr>
            <w:tcW w:w="8721" w:type="dxa"/>
            <w:gridSpan w:val="3"/>
            <w:tcBorders/>
          </w:tcPr>
          <w:p>
            <w:pPr>
              <w:pStyle w:val="Normal"/>
              <w:snapToGrid w:val="false"/>
              <w:spacing w:before="0" w:after="0"/>
              <w:jc w:val="center"/>
              <w:rPr/>
            </w:pPr>
            <w:r>
              <w:rPr/>
            </w:r>
            <w:bookmarkStart w:id="0" w:name="DATE"/>
            <w:bookmarkStart w:id="1" w:name="DATE"/>
            <w:bookmarkEnd w:id="1"/>
          </w:p>
        </w:tc>
        <w:tc>
          <w:tcPr>
            <w:tcW w:w="34" w:type="dxa"/>
            <w:tcBorders/>
            <w:tcMar>
              <w:start w:w="0" w:type="dxa"/>
              <w:end w:w="0" w:type="dxa"/>
            </w:tcMar>
          </w:tcPr>
          <w:p>
            <w:pPr>
              <w:pStyle w:val="Normal"/>
              <w:snapToGrid w:val="false"/>
              <w:spacing w:before="0" w:after="240"/>
              <w:rPr/>
            </w:pPr>
            <w:r>
              <w:rPr/>
            </w:r>
          </w:p>
        </w:tc>
      </w:tr>
      <w:tr>
        <w:trPr>
          <w:trHeight w:val="2400" w:hRule="atLeast"/>
        </w:trPr>
        <w:tc>
          <w:tcPr>
            <w:tcW w:w="8721" w:type="dxa"/>
            <w:gridSpan w:val="3"/>
            <w:tcBorders/>
          </w:tcPr>
          <w:p>
            <w:pPr>
              <w:pStyle w:val="Normal"/>
              <w:snapToGrid w:val="false"/>
              <w:jc w:val="center"/>
              <w:rPr>
                <w:caps/>
              </w:rPr>
            </w:pPr>
            <w:r>
              <w:rPr>
                <w:caps/>
              </w:rPr>
            </w:r>
            <w:bookmarkStart w:id="2" w:name="Titleoftrans"/>
            <w:bookmarkStart w:id="3" w:name="Titleoftrans"/>
            <w:bookmarkEnd w:id="3"/>
          </w:p>
          <w:p>
            <w:pPr>
              <w:pStyle w:val="Normal"/>
              <w:spacing w:before="0" w:after="240"/>
              <w:jc w:val="center"/>
              <w:rPr>
                <w:caps/>
              </w:rPr>
            </w:pPr>
            <w:r>
              <w:rPr>
                <w:caps/>
              </w:rPr>
            </w:r>
          </w:p>
        </w:tc>
        <w:tc>
          <w:tcPr>
            <w:tcW w:w="34" w:type="dxa"/>
            <w:tcBorders/>
            <w:tcMar>
              <w:start w:w="0" w:type="dxa"/>
              <w:end w:w="0" w:type="dxa"/>
            </w:tcMar>
          </w:tcPr>
          <w:p>
            <w:pPr>
              <w:pStyle w:val="Normal"/>
              <w:snapToGrid w:val="false"/>
              <w:spacing w:before="0" w:after="240"/>
              <w:rPr>
                <w:caps/>
              </w:rPr>
            </w:pPr>
            <w:r>
              <w:rPr>
                <w:caps/>
              </w:rPr>
            </w:r>
          </w:p>
        </w:tc>
      </w:tr>
      <w:tr>
        <w:trPr>
          <w:trHeight w:val="1400" w:hRule="atLeast"/>
        </w:trPr>
        <w:tc>
          <w:tcPr>
            <w:tcW w:w="1247" w:type="dxa"/>
            <w:tcBorders/>
            <w:tcMar>
              <w:start w:w="107" w:type="dxa"/>
              <w:end w:w="107" w:type="dxa"/>
            </w:tcMar>
          </w:tcPr>
          <w:p>
            <w:pPr>
              <w:pStyle w:val="Normal"/>
              <w:snapToGrid w:val="false"/>
              <w:spacing w:before="0" w:after="0"/>
              <w:jc w:val="center"/>
              <w:rPr>
                <w:caps/>
              </w:rPr>
            </w:pPr>
            <w:r>
              <w:rPr>
                <w:caps/>
              </w:rPr>
            </w:r>
          </w:p>
        </w:tc>
        <w:tc>
          <w:tcPr>
            <w:tcW w:w="6237" w:type="dxa"/>
            <w:tcBorders>
              <w:top w:val="single" w:sz="6" w:space="0" w:color="000000"/>
              <w:bottom w:val="single" w:sz="6" w:space="0" w:color="000000"/>
            </w:tcBorders>
            <w:tcMar>
              <w:start w:w="107" w:type="dxa"/>
              <w:end w:w="107" w:type="dxa"/>
            </w:tcMar>
            <w:vAlign w:val="center"/>
          </w:tcPr>
          <w:p>
            <w:pPr>
              <w:pStyle w:val="COVERPAGE"/>
              <w:jc w:val="center"/>
              <w:rPr>
                <w:b/>
                <w:caps/>
              </w:rPr>
            </w:pPr>
            <w:bookmarkStart w:id="4" w:name="Titleofdoc"/>
            <w:bookmarkEnd w:id="4"/>
            <w:r>
              <w:rPr>
                <w:b/>
                <w:caps/>
              </w:rPr>
              <w:t>eNRON COMMUNICATIONS, INC</w:t>
            </w:r>
            <w:r>
              <w:rPr>
                <w:caps/>
              </w:rPr>
              <w:t>.</w:t>
            </w:r>
          </w:p>
          <w:p>
            <w:pPr>
              <w:pStyle w:val="COVERPAGE"/>
              <w:jc w:val="center"/>
              <w:rPr>
                <w:b/>
                <w:caps/>
              </w:rPr>
            </w:pPr>
            <w:r>
              <w:rPr>
                <w:b/>
                <w:caps/>
              </w:rPr>
              <w:t>SURVEY OF THE LAWS OF</w:t>
            </w:r>
          </w:p>
          <w:p>
            <w:pPr>
              <w:pStyle w:val="COVERPAGE"/>
              <w:jc w:val="center"/>
              <w:rPr>
                <w:b/>
                <w:caps/>
              </w:rPr>
            </w:pPr>
            <w:r>
              <w:rPr>
                <w:b/>
                <w:caps/>
              </w:rPr>
              <w:t>THE PEOPLE'S REPUBLIC OF CHINA</w:t>
            </w:r>
          </w:p>
          <w:p>
            <w:pPr>
              <w:pStyle w:val="Normal"/>
              <w:spacing w:before="0" w:after="0"/>
              <w:jc w:val="center"/>
              <w:rPr>
                <w:b/>
                <w:caps/>
              </w:rPr>
            </w:pPr>
            <w:r>
              <w:rPr>
                <w:b/>
                <w:caps/>
              </w:rPr>
              <w:t>REGARDING TRADING OF BANDWIDTH AND ESTABLISHMENT OF BANDWIDTH TRADING POINTs</w:t>
            </w:r>
          </w:p>
        </w:tc>
        <w:tc>
          <w:tcPr>
            <w:tcW w:w="1270" w:type="dxa"/>
            <w:gridSpan w:val="2"/>
            <w:tcBorders/>
            <w:tcMar>
              <w:start w:w="107" w:type="dxa"/>
              <w:end w:w="107" w:type="dxa"/>
            </w:tcMar>
          </w:tcPr>
          <w:p>
            <w:pPr>
              <w:pStyle w:val="Normal"/>
              <w:snapToGrid w:val="false"/>
              <w:spacing w:before="0" w:after="0"/>
              <w:jc w:val="center"/>
              <w:rPr/>
            </w:pPr>
            <w:r>
              <w:rPr/>
            </w:r>
          </w:p>
        </w:tc>
      </w:tr>
    </w:tbl>
    <w:p>
      <w:pPr>
        <w:pStyle w:val="Titleoftrans"/>
        <w:rPr/>
      </w:pPr>
      <w:r>
        <w:rPr/>
      </w:r>
    </w:p>
    <w:p>
      <w:pPr>
        <w:pStyle w:val="Titleoftrans"/>
        <w:rPr/>
      </w:pPr>
      <w:r>
        <w:rPr/>
      </w:r>
    </w:p>
    <w:p>
      <w:pPr>
        <w:pStyle w:val="Titleoftrans"/>
        <w:rPr/>
      </w:pPr>
      <w:r>
        <w:rPr/>
      </w:r>
    </w:p>
    <w:p>
      <w:pPr>
        <w:pStyle w:val="Titleoftrans"/>
        <w:rPr/>
      </w:pPr>
      <w:r>
        <w:rPr/>
      </w:r>
    </w:p>
    <w:p>
      <w:pPr>
        <w:pStyle w:val="Titleoftrans"/>
        <w:rPr/>
      </w:pPr>
      <w:r>
        <w:rPr/>
      </w:r>
    </w:p>
    <w:p>
      <w:pPr>
        <w:pStyle w:val="Titleoftrans"/>
        <w:spacing w:before="240" w:after="240"/>
        <w:rPr/>
      </w:pPr>
      <w:r>
        <w:rPr/>
      </w:r>
    </w:p>
    <w:p>
      <w:pPr>
        <w:pStyle w:val="Titleoftrans"/>
        <w:rPr/>
      </w:pPr>
      <w:r>
        <w:rPr/>
        <w:t>20 DECEMBER 1999</w:t>
      </w:r>
    </w:p>
    <w:p>
      <w:pPr>
        <w:pStyle w:val="Titleoftrans"/>
        <w:rPr/>
      </w:pPr>
      <w:r>
        <w:rPr/>
      </w:r>
    </w:p>
    <w:p>
      <w:pPr>
        <w:sectPr>
          <w:headerReference w:type="default" r:id="rId2"/>
          <w:footerReference w:type="default" r:id="rId3"/>
          <w:type w:val="nextPage"/>
          <w:pgSz w:w="11906" w:h="16838"/>
          <w:pgMar w:left="1701" w:right="1701" w:gutter="0" w:header="720" w:top="1440" w:footer="284" w:bottom="1134"/>
          <w:pgNumType w:fmt="decimal"/>
          <w:formProt w:val="false"/>
          <w:textDirection w:val="lrTb"/>
          <w:docGrid w:type="default" w:linePitch="360" w:charSpace="0"/>
        </w:sectPr>
        <w:pStyle w:val="Logo"/>
        <w:spacing w:before="0" w:after="1400"/>
        <w:ind w:start="-1138" w:end="-1138"/>
        <w:rPr/>
      </w:pPr>
      <w:r>
        <w:rPr/>
        <w:t>CLIFFORD CHANCE</w:t>
      </w:r>
    </w:p>
    <w:p>
      <w:pPr>
        <w:pStyle w:val="Footer"/>
        <w:rPr/>
      </w:pPr>
      <w:r>
        <w:rPr/>
        <w:tab/>
      </w:r>
    </w:p>
    <w:p>
      <w:pPr>
        <w:pStyle w:val="Titleoftrans"/>
        <w:rPr/>
      </w:pPr>
      <w:r>
        <w:rPr/>
        <w:t>CONTENTS</w:t>
      </w:r>
    </w:p>
    <w:p>
      <w:pPr>
        <w:pStyle w:val="Normal"/>
        <w:tabs>
          <w:tab w:val="clear" w:pos="720"/>
          <w:tab w:val="right" w:pos="8505" w:leader="none"/>
        </w:tabs>
        <w:spacing w:before="0" w:after="360"/>
        <w:jc w:val="start"/>
        <w:rPr/>
      </w:pPr>
      <w:r>
        <w:rPr/>
        <w:t>SECTION</w:t>
        <w:tab/>
        <w:t>PAGE</w:t>
      </w:r>
    </w:p>
    <w:sdt>
      <w:sdtPr>
        <w:docPartObj>
          <w:docPartGallery w:val="Table of Contents"/>
          <w:docPartUnique w:val="true"/>
        </w:docPartObj>
      </w:sdtPr>
      <w:sdtContent>
        <w:p>
          <w:pPr>
            <w:pStyle w:val="TOC1"/>
            <w:spacing w:before="120" w:after="120"/>
            <w:ind w:hanging="720" w:start="720" w:end="567"/>
            <w:jc w:val="start"/>
            <w:rPr>
              <w:caps/>
              <w:lang w:val="en-CA"/>
            </w:rPr>
          </w:pPr>
          <w:r>
            <w:fldChar w:fldCharType="begin"/>
          </w:r>
          <w:r>
            <w:rPr>
              <w:caps/>
              <w:kern w:val="2"/>
              <w:lang w:val="en-CA"/>
            </w:rPr>
            <w:instrText xml:space="preserve"> TOC \o "1-2" </w:instrText>
          </w:r>
          <w:r>
            <w:rPr>
              <w:caps/>
              <w:kern w:val="2"/>
              <w:lang w:val="en-CA"/>
            </w:rPr>
            <w:fldChar w:fldCharType="separate"/>
          </w:r>
          <w:bookmarkStart w:id="5" w:name="TOC"/>
          <w:bookmarkEnd w:id="5"/>
          <w:r>
            <w:rPr>
              <w:caps/>
              <w:kern w:val="2"/>
              <w:lang w:val="en-CA"/>
            </w:rPr>
            <w:t>1.</w:t>
          </w:r>
          <w:r>
            <w:rPr>
              <w:caps/>
              <w:lang w:val="en-CA"/>
            </w:rPr>
            <w:tab/>
          </w:r>
          <w:r>
            <w:rPr>
              <w:caps/>
              <w:kern w:val="2"/>
              <w:lang w:val="en-CA"/>
            </w:rPr>
            <w:t>INTRODUCTION</w:t>
          </w:r>
          <w:r>
            <w:rPr>
              <w:caps/>
              <w:lang w:val="en-CA"/>
            </w:rPr>
            <w:tab/>
          </w:r>
          <w:hyperlink w:anchor="__RefHeading___Toc470337112">
            <w:r>
              <w:rPr>
                <w:rStyle w:val="IndexLink"/>
                <w:caps/>
                <w:lang w:val="en-CA"/>
              </w:rPr>
              <w:t>1</w:t>
            </w:r>
          </w:hyperlink>
        </w:p>
        <w:p>
          <w:pPr>
            <w:pStyle w:val="TOC1"/>
            <w:rPr/>
          </w:pPr>
          <w:r>
            <w:rPr>
              <w:kern w:val="2"/>
            </w:rPr>
            <w:t>2.</w:t>
          </w:r>
          <w:r>
            <w:rPr/>
            <w:tab/>
          </w:r>
          <w:r>
            <w:rPr>
              <w:kern w:val="2"/>
            </w:rPr>
            <w:t>SCOPE OF SURVEY</w:t>
          </w:r>
          <w:r>
            <w:rPr/>
            <w:tab/>
          </w:r>
          <w:hyperlink w:anchor="__RefHeading___Toc470337113">
            <w:r>
              <w:rPr>
                <w:rStyle w:val="IndexLink"/>
              </w:rPr>
              <w:t>1</w:t>
            </w:r>
          </w:hyperlink>
        </w:p>
        <w:p>
          <w:pPr>
            <w:pStyle w:val="TOC2"/>
            <w:spacing w:before="0" w:after="0"/>
            <w:rPr/>
          </w:pPr>
          <w:r>
            <w:rPr/>
            <w:t>2.1</w:t>
            <w:tab/>
            <w:t>Introduction</w:t>
            <w:tab/>
          </w:r>
          <w:hyperlink w:anchor="__RefHeading___Toc470337114">
            <w:r>
              <w:rPr>
                <w:rStyle w:val="IndexLink"/>
              </w:rPr>
              <w:t>1</w:t>
            </w:r>
          </w:hyperlink>
        </w:p>
        <w:p>
          <w:pPr>
            <w:pStyle w:val="TOC2"/>
            <w:spacing w:before="0" w:after="0"/>
            <w:rPr/>
          </w:pPr>
          <w:r>
            <w:rPr>
              <w:kern w:val="2"/>
            </w:rPr>
            <w:t>2.2</w:t>
          </w:r>
          <w:r>
            <w:rPr/>
            <w:tab/>
          </w:r>
          <w:r>
            <w:rPr>
              <w:kern w:val="2"/>
            </w:rPr>
            <w:t>Extent of survey</w:t>
          </w:r>
          <w:r>
            <w:rPr/>
            <w:tab/>
          </w:r>
          <w:hyperlink w:anchor="__RefHeading___Toc470337115">
            <w:r>
              <w:rPr>
                <w:rStyle w:val="IndexLink"/>
              </w:rPr>
              <w:t>1</w:t>
            </w:r>
          </w:hyperlink>
        </w:p>
        <w:p>
          <w:pPr>
            <w:pStyle w:val="TOC2"/>
            <w:spacing w:before="0" w:after="0"/>
            <w:rPr/>
          </w:pPr>
          <w:r>
            <w:rPr/>
            <w:t>2.3</w:t>
            <w:tab/>
            <w:t>Interpretation</w:t>
            <w:tab/>
          </w:r>
          <w:hyperlink w:anchor="__RefHeading___Toc470337116">
            <w:r>
              <w:rPr>
                <w:rStyle w:val="IndexLink"/>
              </w:rPr>
              <w:t>2</w:t>
            </w:r>
          </w:hyperlink>
        </w:p>
        <w:p>
          <w:pPr>
            <w:pStyle w:val="TOC1"/>
            <w:rPr/>
          </w:pPr>
          <w:r>
            <w:rPr>
              <w:kern w:val="2"/>
            </w:rPr>
            <w:t>3.</w:t>
          </w:r>
          <w:r>
            <w:rPr/>
            <w:tab/>
          </w:r>
          <w:r>
            <w:rPr>
              <w:kern w:val="2"/>
            </w:rPr>
            <w:t>EXECUTIVE SUMMARY</w:t>
          </w:r>
          <w:r>
            <w:rPr/>
            <w:tab/>
          </w:r>
          <w:hyperlink w:anchor="__RefHeading___Toc470337117">
            <w:r>
              <w:rPr>
                <w:rStyle w:val="IndexLink"/>
              </w:rPr>
              <w:t>3</w:t>
            </w:r>
          </w:hyperlink>
        </w:p>
        <w:p>
          <w:pPr>
            <w:pStyle w:val="TOC2"/>
            <w:spacing w:before="0" w:after="0"/>
            <w:rPr/>
          </w:pPr>
          <w:r>
            <w:rPr>
              <w:kern w:val="2"/>
            </w:rPr>
            <w:t>3.1</w:t>
          </w:r>
          <w:r>
            <w:rPr/>
            <w:tab/>
          </w:r>
          <w:r>
            <w:rPr>
              <w:kern w:val="2"/>
            </w:rPr>
            <w:t>Restrictions on Foreign Investment</w:t>
          </w:r>
          <w:r>
            <w:rPr/>
            <w:tab/>
          </w:r>
          <w:hyperlink w:anchor="__RefHeading___Toc470337118">
            <w:r>
              <w:rPr>
                <w:rStyle w:val="IndexLink"/>
              </w:rPr>
              <w:t>3</w:t>
            </w:r>
          </w:hyperlink>
        </w:p>
        <w:p>
          <w:pPr>
            <w:pStyle w:val="TOC2"/>
            <w:spacing w:before="0" w:after="0"/>
            <w:rPr/>
          </w:pPr>
          <w:r>
            <w:rPr/>
            <w:t>3.2</w:t>
            <w:tab/>
            <w:t>Approvals</w:t>
            <w:tab/>
          </w:r>
          <w:hyperlink w:anchor="__RefHeading___Toc470337119">
            <w:r>
              <w:rPr>
                <w:rStyle w:val="IndexLink"/>
              </w:rPr>
              <w:t>4</w:t>
            </w:r>
          </w:hyperlink>
        </w:p>
        <w:p>
          <w:pPr>
            <w:pStyle w:val="TOC2"/>
            <w:spacing w:before="0" w:after="0"/>
            <w:rPr/>
          </w:pPr>
          <w:r>
            <w:rPr/>
            <w:t>3.3</w:t>
            <w:tab/>
            <w:t>Financial market or exchange</w:t>
            <w:tab/>
          </w:r>
          <w:hyperlink w:anchor="__RefHeading___Toc470337120">
            <w:r>
              <w:rPr>
                <w:rStyle w:val="IndexLink"/>
              </w:rPr>
              <w:t>5</w:t>
            </w:r>
          </w:hyperlink>
        </w:p>
        <w:p>
          <w:pPr>
            <w:pStyle w:val="TOC2"/>
            <w:spacing w:before="0" w:after="0"/>
            <w:rPr/>
          </w:pPr>
          <w:r>
            <w:rPr/>
            <w:t>3.4</w:t>
            <w:tab/>
            <w:t>Competition law</w:t>
            <w:tab/>
          </w:r>
          <w:hyperlink w:anchor="__RefHeading___Toc470337121">
            <w:r>
              <w:rPr>
                <w:rStyle w:val="IndexLink"/>
              </w:rPr>
              <w:t>5</w:t>
            </w:r>
          </w:hyperlink>
        </w:p>
        <w:p>
          <w:pPr>
            <w:pStyle w:val="TOC1"/>
            <w:rPr/>
          </w:pPr>
          <w:r>
            <w:rPr>
              <w:kern w:val="2"/>
            </w:rPr>
            <w:t>4.</w:t>
          </w:r>
          <w:r>
            <w:rPr/>
            <w:tab/>
          </w:r>
          <w:r>
            <w:rPr>
              <w:kern w:val="2"/>
            </w:rPr>
            <w:t>SECTION 1 - BANDWIDTH TRADING TRANSACTIONS</w:t>
          </w:r>
          <w:r>
            <w:rPr/>
            <w:tab/>
          </w:r>
          <w:hyperlink w:anchor="__RefHeading___Toc470337122">
            <w:r>
              <w:rPr>
                <w:rStyle w:val="IndexLink"/>
              </w:rPr>
              <w:t>6</w:t>
            </w:r>
          </w:hyperlink>
        </w:p>
        <w:p>
          <w:pPr>
            <w:pStyle w:val="TOC2"/>
            <w:spacing w:before="0" w:after="0"/>
            <w:rPr/>
          </w:pPr>
          <w:r>
            <w:rPr/>
            <w:t>4.1</w:t>
            <w:tab/>
            <w:t>Assumptions</w:t>
            <w:tab/>
          </w:r>
          <w:hyperlink w:anchor="__RefHeading___Toc470337123">
            <w:r>
              <w:rPr>
                <w:rStyle w:val="IndexLink"/>
              </w:rPr>
              <w:t>6</w:t>
            </w:r>
          </w:hyperlink>
        </w:p>
        <w:p>
          <w:pPr>
            <w:pStyle w:val="TOC2"/>
            <w:tabs>
              <w:tab w:val="left" w:pos="720" w:leader="none"/>
              <w:tab w:val="left" w:pos="2694" w:leader="none"/>
              <w:tab w:val="right" w:pos="8505" w:leader="dot"/>
            </w:tabs>
            <w:spacing w:before="0" w:after="0"/>
            <w:rPr/>
          </w:pPr>
          <w:r>
            <w:rPr/>
            <w:t>4.2</w:t>
            <w:tab/>
            <w:t xml:space="preserve">Section 1A: </w:t>
            <w:tab/>
            <w:t>Licensing and Organisation</w:t>
            <w:tab/>
          </w:r>
          <w:hyperlink w:anchor="__RefHeading___Toc470337124">
            <w:r>
              <w:rPr>
                <w:rStyle w:val="IndexLink"/>
              </w:rPr>
              <w:t>6</w:t>
            </w:r>
          </w:hyperlink>
        </w:p>
        <w:p>
          <w:pPr>
            <w:pStyle w:val="TOC2"/>
            <w:tabs>
              <w:tab w:val="left" w:pos="720" w:leader="none"/>
              <w:tab w:val="left" w:pos="2694" w:leader="none"/>
              <w:tab w:val="right" w:pos="8505" w:leader="dot"/>
            </w:tabs>
            <w:spacing w:before="0" w:after="0"/>
            <w:rPr/>
          </w:pPr>
          <w:r>
            <w:rPr/>
            <w:t>4.3</w:t>
            <w:tab/>
            <w:t xml:space="preserve">Section 1B:  </w:t>
            <w:tab/>
            <w:t>Capacity and Authority</w:t>
            <w:tab/>
          </w:r>
          <w:hyperlink w:anchor="__RefHeading___Toc470337125">
            <w:r>
              <w:rPr>
                <w:rStyle w:val="IndexLink"/>
              </w:rPr>
              <w:t>17</w:t>
            </w:r>
          </w:hyperlink>
        </w:p>
        <w:p>
          <w:pPr>
            <w:pStyle w:val="TOC2"/>
            <w:tabs>
              <w:tab w:val="left" w:pos="720" w:leader="none"/>
              <w:tab w:val="left" w:pos="2694" w:leader="none"/>
              <w:tab w:val="right" w:pos="8505" w:leader="dot"/>
            </w:tabs>
            <w:spacing w:before="0" w:after="0"/>
            <w:rPr/>
          </w:pPr>
          <w:r>
            <w:rPr/>
            <w:t>4.4</w:t>
            <w:tab/>
            <w:t xml:space="preserve">Section 1C: </w:t>
            <w:tab/>
            <w:t>General Contractual Terms and Formalities</w:t>
            <w:tab/>
          </w:r>
          <w:hyperlink w:anchor="__RefHeading___Toc470337126">
            <w:r>
              <w:rPr>
                <w:rStyle w:val="IndexLink"/>
              </w:rPr>
              <w:t>21</w:t>
            </w:r>
          </w:hyperlink>
        </w:p>
        <w:p>
          <w:pPr>
            <w:pStyle w:val="TOC2"/>
            <w:tabs>
              <w:tab w:val="left" w:pos="720" w:leader="none"/>
              <w:tab w:val="left" w:pos="2694" w:leader="none"/>
              <w:tab w:val="right" w:pos="8505" w:leader="dot"/>
            </w:tabs>
            <w:spacing w:before="0" w:after="0"/>
            <w:rPr/>
          </w:pPr>
          <w:r>
            <w:rPr/>
            <w:t>4.5</w:t>
            <w:tab/>
            <w:t>Section 1D:</w:t>
            <w:tab/>
            <w:t>Jurisdiction and Enforcement</w:t>
            <w:tab/>
          </w:r>
          <w:hyperlink w:anchor="__RefHeading___Toc470337127">
            <w:r>
              <w:rPr>
                <w:rStyle w:val="IndexLink"/>
              </w:rPr>
              <w:t>30</w:t>
            </w:r>
          </w:hyperlink>
        </w:p>
        <w:p>
          <w:pPr>
            <w:pStyle w:val="TOC2"/>
            <w:tabs>
              <w:tab w:val="left" w:pos="720" w:leader="none"/>
              <w:tab w:val="left" w:pos="2694" w:leader="none"/>
              <w:tab w:val="right" w:pos="8505" w:leader="dot"/>
            </w:tabs>
            <w:spacing w:before="0" w:after="0"/>
            <w:rPr/>
          </w:pPr>
          <w:r>
            <w:rPr/>
            <w:t>4.6</w:t>
            <w:tab/>
            <w:t xml:space="preserve">Section 1F: </w:t>
            <w:tab/>
            <w:t>Liquidated Damages Provisions</w:t>
            <w:tab/>
          </w:r>
          <w:hyperlink w:anchor="__RefHeading___Toc470337128">
            <w:r>
              <w:rPr>
                <w:rStyle w:val="IndexLink"/>
              </w:rPr>
              <w:t>39</w:t>
            </w:r>
          </w:hyperlink>
        </w:p>
        <w:p>
          <w:pPr>
            <w:pStyle w:val="TOC2"/>
            <w:tabs>
              <w:tab w:val="left" w:pos="720" w:leader="none"/>
              <w:tab w:val="left" w:pos="2694" w:leader="none"/>
              <w:tab w:val="right" w:pos="8505" w:leader="dot"/>
            </w:tabs>
            <w:spacing w:before="0" w:after="0"/>
            <w:rPr/>
          </w:pPr>
          <w:r>
            <w:rPr/>
            <w:t>4.7</w:t>
            <w:tab/>
            <w:t>Section 1G:</w:t>
            <w:tab/>
            <w:t>Foreign Exchange Controls and Usury</w:t>
            <w:tab/>
          </w:r>
          <w:hyperlink w:anchor="__RefHeading___Toc470337129">
            <w:r>
              <w:rPr>
                <w:rStyle w:val="IndexLink"/>
              </w:rPr>
              <w:t>39</w:t>
            </w:r>
          </w:hyperlink>
        </w:p>
        <w:p>
          <w:pPr>
            <w:pStyle w:val="TOC2"/>
            <w:tabs>
              <w:tab w:val="left" w:pos="720" w:leader="none"/>
              <w:tab w:val="left" w:pos="2694" w:leader="none"/>
              <w:tab w:val="right" w:pos="8505" w:leader="dot"/>
            </w:tabs>
            <w:spacing w:before="0" w:after="0"/>
            <w:rPr/>
          </w:pPr>
          <w:r>
            <w:rPr/>
            <w:t>4.8</w:t>
            <w:tab/>
            <w:t xml:space="preserve">Section 1H: </w:t>
            <w:tab/>
            <w:t>Taxation</w:t>
            <w:tab/>
          </w:r>
          <w:hyperlink w:anchor="__RefHeading___Toc470337130">
            <w:r>
              <w:rPr>
                <w:rStyle w:val="IndexLink"/>
              </w:rPr>
              <w:t>41</w:t>
            </w:r>
          </w:hyperlink>
        </w:p>
        <w:p>
          <w:pPr>
            <w:pStyle w:val="TOC2"/>
            <w:tabs>
              <w:tab w:val="left" w:pos="720" w:leader="none"/>
              <w:tab w:val="left" w:pos="2694" w:leader="none"/>
              <w:tab w:val="right" w:pos="8505" w:leader="dot"/>
            </w:tabs>
            <w:spacing w:before="0" w:after="0"/>
            <w:rPr/>
          </w:pPr>
          <w:r>
            <w:rPr/>
            <w:t>4.9</w:t>
            <w:tab/>
            <w:t>Section 1I:</w:t>
            <w:tab/>
            <w:t>Miscellaneous</w:t>
            <w:tab/>
          </w:r>
          <w:hyperlink w:anchor="__RefHeading___Toc470337131">
            <w:r>
              <w:rPr>
                <w:rStyle w:val="IndexLink"/>
              </w:rPr>
              <w:t>42</w:t>
            </w:r>
          </w:hyperlink>
        </w:p>
        <w:p>
          <w:pPr>
            <w:pStyle w:val="TOC1"/>
            <w:rPr/>
          </w:pPr>
          <w:r>
            <w:rPr>
              <w:kern w:val="2"/>
            </w:rPr>
            <w:t>5.</w:t>
          </w:r>
          <w:r>
            <w:rPr/>
            <w:tab/>
          </w:r>
          <w:r>
            <w:rPr>
              <w:kern w:val="2"/>
            </w:rPr>
            <w:t>section 2 - TRADING BANDWIDTH WITHOUT ACTUAL PHYSICAL DELIVERY</w:t>
          </w:r>
          <w:r>
            <w:rPr/>
            <w:tab/>
          </w:r>
          <w:hyperlink w:anchor="__RefHeading___Toc470337132">
            <w:r>
              <w:rPr>
                <w:rStyle w:val="IndexLink"/>
              </w:rPr>
              <w:t>44</w:t>
            </w:r>
          </w:hyperlink>
        </w:p>
        <w:p>
          <w:pPr>
            <w:pStyle w:val="TOC1"/>
            <w:rPr/>
          </w:pPr>
          <w:r>
            <w:rPr>
              <w:kern w:val="2"/>
            </w:rPr>
            <w:t>6.</w:t>
          </w:r>
          <w:r>
            <w:rPr/>
            <w:tab/>
          </w:r>
          <w:r>
            <w:rPr>
              <w:kern w:val="2"/>
            </w:rPr>
            <w:t>SECTION 3 - establishment of pooling points and connection of telecommunications networks to pooling points</w:t>
          </w:r>
          <w:r>
            <w:rPr/>
            <w:tab/>
          </w:r>
          <w:hyperlink w:anchor="__RefHeading___Toc470337133">
            <w:r>
              <w:rPr>
                <w:rStyle w:val="IndexLink"/>
              </w:rPr>
              <w:t>48</w:t>
            </w:r>
          </w:hyperlink>
        </w:p>
        <w:p>
          <w:pPr>
            <w:pStyle w:val="TOC2"/>
            <w:tabs>
              <w:tab w:val="left" w:pos="720" w:leader="none"/>
              <w:tab w:val="left" w:pos="2694" w:leader="none"/>
              <w:tab w:val="right" w:pos="8505" w:leader="dot"/>
            </w:tabs>
            <w:spacing w:before="0" w:after="0"/>
            <w:rPr/>
          </w:pPr>
          <w:r>
            <w:rPr/>
            <w:t>6.1</w:t>
            <w:tab/>
            <w:t>Section 3A:</w:t>
            <w:tab/>
            <w:t>Establishment of a Pooling Point in China by a Pooling   Point Operator</w:t>
            <w:tab/>
          </w:r>
          <w:hyperlink w:anchor="__RefHeading___Toc470337134">
            <w:r>
              <w:rPr>
                <w:rStyle w:val="IndexLink"/>
              </w:rPr>
              <w:t>48</w:t>
            </w:r>
          </w:hyperlink>
        </w:p>
        <w:p>
          <w:pPr>
            <w:pStyle w:val="TOC2"/>
            <w:tabs>
              <w:tab w:val="left" w:pos="720" w:leader="none"/>
              <w:tab w:val="left" w:pos="2694" w:leader="none"/>
              <w:tab w:val="right" w:pos="8505" w:leader="dot"/>
            </w:tabs>
            <w:spacing w:before="0" w:after="0"/>
            <w:rPr/>
          </w:pPr>
          <w:r>
            <w:rPr/>
            <w:t>6.2</w:t>
            <w:tab/>
            <w:t>Section 3B:</w:t>
            <w:tab/>
            <w:t>Connection of a Telecommunications Network to the Pooling Point</w:t>
            <w:tab/>
          </w:r>
          <w:hyperlink w:anchor="__RefHeading___Toc470337135">
            <w:r>
              <w:rPr>
                <w:rStyle w:val="IndexLink"/>
              </w:rPr>
              <w:t>51</w:t>
            </w:r>
          </w:hyperlink>
        </w:p>
        <w:p>
          <w:pPr>
            <w:pStyle w:val="TOC2"/>
            <w:tabs>
              <w:tab w:val="left" w:pos="720" w:leader="none"/>
              <w:tab w:val="left" w:pos="2694" w:leader="none"/>
              <w:tab w:val="right" w:pos="8505" w:leader="dot"/>
            </w:tabs>
            <w:spacing w:before="0" w:after="0"/>
            <w:rPr/>
          </w:pPr>
          <w:r>
            <w:rPr/>
            <w:t>6.3</w:t>
            <w:tab/>
            <w:t xml:space="preserve">Section 3C: </w:t>
            <w:tab/>
            <w:t>Taxation</w:t>
            <w:tab/>
          </w:r>
          <w:hyperlink w:anchor="__RefHeading___Toc470337136">
            <w:r>
              <w:rPr>
                <w:rStyle w:val="IndexLink"/>
              </w:rPr>
              <w:t>54</w:t>
            </w:r>
          </w:hyperlink>
        </w:p>
        <w:p>
          <w:pPr>
            <w:pStyle w:val="TOC1"/>
            <w:rPr/>
          </w:pPr>
          <w:r>
            <w:rPr>
              <w:kern w:val="2"/>
            </w:rPr>
            <w:t>7.</w:t>
          </w:r>
          <w:r>
            <w:rPr/>
            <w:tab/>
          </w:r>
          <w:r>
            <w:rPr>
              <w:kern w:val="2"/>
            </w:rPr>
            <w:t xml:space="preserve">SECTION 4 - TRANSACTIONS OVER A SEGMENT BETWEEN POOLING POINTS, EITHER OR BOTH OF WHICH MAY BE LOCATED IN </w:t>
          </w:r>
          <w:r>
            <w:rPr/>
            <w:t>China</w:t>
            <w:tab/>
          </w:r>
          <w:hyperlink w:anchor="__RefHeading___Toc470337137">
            <w:r>
              <w:rPr>
                <w:rStyle w:val="IndexLink"/>
              </w:rPr>
              <w:t>56</w:t>
            </w:r>
          </w:hyperlink>
          <w:r>
            <w:rPr>
              <w:rStyle w:val="IndexLink"/>
            </w:rPr>
            <w:fldChar w:fldCharType="end"/>
          </w:r>
        </w:p>
      </w:sdtContent>
    </w:sdt>
    <w:p>
      <w:pPr>
        <w:sectPr>
          <w:headerReference w:type="default" r:id="rId4"/>
          <w:headerReference w:type="first" r:id="rId5"/>
          <w:footerReference w:type="default" r:id="rId6"/>
          <w:footerReference w:type="first" r:id="rId7"/>
          <w:type w:val="nextPage"/>
          <w:pgSz w:w="11906" w:h="16838"/>
          <w:pgMar w:left="1701" w:right="1701" w:gutter="0" w:header="720" w:top="1440" w:footer="284" w:bottom="1134"/>
          <w:pgNumType w:fmt="decimal"/>
          <w:formProt w:val="false"/>
          <w:textDirection w:val="lrTb"/>
          <w:docGrid w:type="default" w:linePitch="360" w:charSpace="0"/>
        </w:sectPr>
        <w:pStyle w:val="Normal"/>
        <w:numPr>
          <w:ilvl w:val="0"/>
          <w:numId w:val="0"/>
        </w:numPr>
        <w:rPr/>
      </w:pPr>
      <w:r>
        <w:rPr/>
      </w:r>
    </w:p>
    <w:p>
      <w:pPr>
        <w:pStyle w:val="RightTab"/>
        <w:ind w:start="360" w:end="0"/>
        <w:jc w:val="end"/>
        <w:rPr>
          <w:kern w:val="2"/>
        </w:rPr>
      </w:pPr>
      <w:r>
        <w:rPr>
          <w:kern w:val="2"/>
        </w:rPr>
        <w:t>20 December 1999</w:t>
      </w:r>
    </w:p>
    <w:p>
      <w:pPr>
        <w:pStyle w:val="Normal"/>
        <w:ind w:start="360" w:end="0"/>
        <w:rPr>
          <w:kern w:val="2"/>
        </w:rPr>
      </w:pPr>
      <w:r>
        <w:rPr>
          <w:kern w:val="2"/>
        </w:rPr>
      </w:r>
    </w:p>
    <w:p>
      <w:pPr>
        <w:pStyle w:val="COVERPAGE"/>
        <w:ind w:start="360" w:end="0"/>
        <w:jc w:val="center"/>
        <w:rPr>
          <w:b/>
          <w:caps/>
        </w:rPr>
      </w:pPr>
      <w:r>
        <w:rPr>
          <w:b/>
          <w:caps/>
        </w:rPr>
        <w:t>ENRON COMMUNICATIONS, INC</w:t>
      </w:r>
      <w:r>
        <w:rPr>
          <w:caps/>
        </w:rPr>
        <w:t>.</w:t>
      </w:r>
    </w:p>
    <w:p>
      <w:pPr>
        <w:pStyle w:val="COVERPAGE"/>
        <w:ind w:start="360" w:end="0"/>
        <w:jc w:val="center"/>
        <w:rPr>
          <w:b/>
          <w:caps/>
        </w:rPr>
      </w:pPr>
      <w:r>
        <w:rPr>
          <w:b/>
          <w:caps/>
        </w:rPr>
      </w:r>
    </w:p>
    <w:p>
      <w:pPr>
        <w:pStyle w:val="COVERPAGE"/>
        <w:ind w:start="360" w:end="0"/>
        <w:jc w:val="center"/>
        <w:rPr>
          <w:b/>
          <w:caps/>
        </w:rPr>
      </w:pPr>
      <w:r>
        <w:rPr>
          <w:b/>
          <w:caps/>
        </w:rPr>
        <w:t>SURVEY OF THE LAWS OF The People's Republic of China</w:t>
      </w:r>
    </w:p>
    <w:p>
      <w:pPr>
        <w:pStyle w:val="Normal"/>
        <w:ind w:start="360" w:end="0"/>
        <w:jc w:val="center"/>
        <w:rPr>
          <w:kern w:val="2"/>
        </w:rPr>
      </w:pPr>
      <w:r>
        <w:rPr>
          <w:b/>
          <w:caps/>
        </w:rPr>
        <w:t>REGARDING TRADING OF BANDWIDTH AND ESTABLISHMENT OF BANDWIDTH TRADING POINTS</w:t>
      </w:r>
    </w:p>
    <w:p>
      <w:pPr>
        <w:pStyle w:val="Heading1"/>
        <w:ind w:hanging="0" w:start="0"/>
        <w:rPr>
          <w:kern w:val="2"/>
        </w:rPr>
      </w:pPr>
      <w:bookmarkStart w:id="6" w:name="__RefHeading___Toc470337112"/>
      <w:bookmarkEnd w:id="6"/>
      <w:r>
        <w:rPr>
          <w:kern w:val="2"/>
        </w:rPr>
        <w:t>INTRODUCTION</w:t>
      </w:r>
    </w:p>
    <w:p>
      <w:pPr>
        <w:pStyle w:val="BodyText"/>
        <w:rPr/>
      </w:pPr>
      <w:r>
        <w:rPr/>
        <w:t>Enron Communications, Inc. ("</w:t>
      </w:r>
      <w:r>
        <w:rPr>
          <w:b/>
        </w:rPr>
        <w:t>ECI</w:t>
      </w:r>
      <w:r>
        <w:rPr/>
        <w:t>") has asked that we provide responses to the questions set out in the Survey of the Laws of The People's Republic of China ("</w:t>
      </w:r>
      <w:r>
        <w:rPr>
          <w:b/>
        </w:rPr>
        <w:t>China</w:t>
      </w:r>
      <w:r>
        <w:rPr/>
        <w:t>") regarding Trading of Bandwidth and Establishment of Bandwidth Pooling Points (the "</w:t>
      </w:r>
      <w:r>
        <w:rPr>
          <w:b/>
        </w:rPr>
        <w:t>Survey Questionnaire</w:t>
      </w:r>
      <w:r>
        <w:rPr/>
        <w:t>", attached as the Annex to this Report), in connection with the establishment of a forward commodity market for the trading of telecommunications bandwidth.</w:t>
      </w:r>
    </w:p>
    <w:p>
      <w:pPr>
        <w:pStyle w:val="Heading1"/>
        <w:ind w:hanging="0" w:start="0"/>
        <w:rPr>
          <w:kern w:val="2"/>
        </w:rPr>
      </w:pPr>
      <w:bookmarkStart w:id="7" w:name="__RefHeading___Toc470337113"/>
      <w:bookmarkEnd w:id="7"/>
      <w:r>
        <w:rPr>
          <w:kern w:val="2"/>
        </w:rPr>
        <w:t>SCOPE OF SURVEY</w:t>
      </w:r>
    </w:p>
    <w:p>
      <w:pPr>
        <w:pStyle w:val="Heading2"/>
        <w:ind w:hanging="0" w:start="0"/>
        <w:rPr/>
      </w:pPr>
      <w:bookmarkStart w:id="8" w:name="__RefHeading___Toc470337114"/>
      <w:bookmarkEnd w:id="8"/>
      <w:r>
        <w:rPr/>
        <w:t>Introduction</w:t>
      </w:r>
    </w:p>
    <w:p>
      <w:pPr>
        <w:pStyle w:val="BodyText"/>
        <w:rPr>
          <w:kern w:val="2"/>
        </w:rPr>
      </w:pPr>
      <w:r>
        <w:rPr>
          <w:kern w:val="2"/>
        </w:rPr>
        <w:t xml:space="preserve">We have conducted the survey of the laws of China in accordance with the Survey Questionnaire, and on the basis of our review of the documents and information provided by ECI.  This Report sets out our responses to the Survey Questionnaire. </w:t>
      </w:r>
    </w:p>
    <w:p>
      <w:pPr>
        <w:pStyle w:val="BodyText"/>
        <w:rPr>
          <w:kern w:val="2"/>
        </w:rPr>
      </w:pPr>
      <w:r>
        <w:rPr>
          <w:kern w:val="2"/>
        </w:rPr>
        <w:t>This Report should be used by ECI solely in connection with the establishment of a market for trading telecommunications bandwidth and ECI should not rely on it for any other purpose.</w:t>
      </w:r>
    </w:p>
    <w:p>
      <w:pPr>
        <w:pStyle w:val="Heading2"/>
        <w:ind w:hanging="0" w:start="0"/>
        <w:rPr>
          <w:kern w:val="2"/>
        </w:rPr>
      </w:pPr>
      <w:bookmarkStart w:id="9" w:name="__RefHeading___Toc470337115"/>
      <w:bookmarkEnd w:id="9"/>
      <w:r>
        <w:rPr>
          <w:kern w:val="2"/>
        </w:rPr>
        <w:t>Extent of survey</w:t>
      </w:r>
    </w:p>
    <w:p>
      <w:pPr>
        <w:pStyle w:val="BodyText"/>
        <w:rPr>
          <w:kern w:val="2"/>
        </w:rPr>
      </w:pPr>
      <w:r>
        <w:rPr>
          <w:kern w:val="2"/>
        </w:rPr>
        <w:t xml:space="preserve">You have discussed with our London office the extent of the legal survey which Clifford Chance is to perform.  </w:t>
      </w:r>
    </w:p>
    <w:p>
      <w:pPr>
        <w:pStyle w:val="BodyText"/>
        <w:rPr>
          <w:kern w:val="2"/>
        </w:rPr>
      </w:pPr>
      <w:r>
        <w:rPr>
          <w:kern w:val="2"/>
        </w:rPr>
        <w:t xml:space="preserve">You have confirmed to us that you do not wish us to review or advise on any financial or security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China.  </w:t>
      </w:r>
    </w:p>
    <w:p>
      <w:pPr>
        <w:pStyle w:val="Heading3"/>
        <w:numPr>
          <w:ilvl w:val="0"/>
          <w:numId w:val="0"/>
        </w:numPr>
        <w:ind w:hanging="0" w:start="720" w:end="0"/>
        <w:rPr>
          <w:kern w:val="2"/>
        </w:rPr>
      </w:pPr>
      <w:r>
        <w:rPr>
          <w:kern w:val="2"/>
        </w:rPr>
        <w:t>You have also confirmed that you do not wish us to discuss any aspects of the Proposal with relevant regulators in China, including on a "no-names" basis.  Given the "novelty" of the Proposal for the purposes of Chinese law and regulation, we are unable to advise conclusively on certain issues.  We have highlighted such issues in the relevant sections of this Report.</w:t>
      </w:r>
    </w:p>
    <w:p>
      <w:pPr>
        <w:pStyle w:val="Heading3"/>
        <w:numPr>
          <w:ilvl w:val="0"/>
          <w:numId w:val="0"/>
        </w:numPr>
        <w:ind w:hanging="0" w:start="720" w:end="0"/>
        <w:rPr>
          <w:kern w:val="2"/>
        </w:rPr>
      </w:pPr>
      <w:r>
        <w:rPr>
          <w:kern w:val="2"/>
        </w:rPr>
        <w:t>Finally, you have confirmed that you do require us to provide responses to questions in the Survey Questionnaire on taxation, but you do not require us to advise on accounting or other financial aspects or implications of the survey questions.  In respect of those sections of the Report which address issues of taxation, we have set out the general principles which we believe should be relevant.  We are not tax specialists.  Furthermore, the laws and regulations governing taxation in China, and the interpretation of such laws and regulations by the local authorities, may differ according to the location.  We therefore recommend you seek confirmation of the position from your own tax advisors before proceeding with any Proposal.</w:t>
      </w:r>
    </w:p>
    <w:p>
      <w:pPr>
        <w:pStyle w:val="BodyText"/>
        <w:rPr>
          <w:kern w:val="2"/>
        </w:rPr>
      </w:pPr>
      <w:r>
        <w:rPr>
          <w:kern w:val="2"/>
        </w:rPr>
        <w:t>The survey responses have been prepared on the basis of the information contained in the Documents, and we have assumed that the Documents contain all factual information which has a bearing on the questions in the Survey Questionnaire.</w:t>
      </w:r>
    </w:p>
    <w:p>
      <w:pPr>
        <w:pStyle w:val="BodyText"/>
        <w:rPr>
          <w:kern w:val="2"/>
        </w:rPr>
      </w:pPr>
      <w:r>
        <w:rPr>
          <w:kern w:val="2"/>
        </w:rPr>
        <w:t>The Documents include materials which are governed by the laws of the State of Texas or the State of New York in the United States of America.  We express no opinion as to the laws of any State in the United States of America or other jurisdictions outside China.</w:t>
      </w:r>
    </w:p>
    <w:p>
      <w:pPr>
        <w:pStyle w:val="Normal"/>
        <w:ind w:start="709" w:end="0"/>
        <w:rPr>
          <w:b/>
        </w:rPr>
      </w:pPr>
      <w:r>
        <w:rPr>
          <w:b/>
        </w:rPr>
        <w:t>This report is based on our understanding of relevant Chinese law and practice and our experience in representing foreign companies in their business activities in China.  Like other foreign lawyers, we are not authorised to practise law in China and cannot express a formal legal opinion on Chinese law.  The application of Chinese laws and policies regarding the activities of foreign enterprises in China is constantly evolving.  Accordingly, this advice is necessarily preliminary and subject to confirmation from the relevant Chinese authorities.</w:t>
      </w:r>
    </w:p>
    <w:p>
      <w:pPr>
        <w:pStyle w:val="Heading2"/>
        <w:ind w:hanging="0" w:start="0"/>
        <w:rPr/>
      </w:pPr>
      <w:bookmarkStart w:id="10" w:name="__RefHeading___Toc470337116"/>
      <w:bookmarkEnd w:id="10"/>
      <w:r>
        <w:rPr/>
        <w:t>Interpretation</w:t>
      </w:r>
    </w:p>
    <w:p>
      <w:pPr>
        <w:pStyle w:val="Heading3"/>
        <w:ind w:hanging="0" w:start="0"/>
        <w:rPr>
          <w:kern w:val="2"/>
        </w:rPr>
      </w:pPr>
      <w:r>
        <w:rPr>
          <w:kern w:val="2"/>
        </w:rPr>
        <w:t>In this Report, the following words and expressions have the meanings set out below (and as set out in the Survey Questionnaire):</w:t>
      </w:r>
    </w:p>
    <w:p>
      <w:pPr>
        <w:pStyle w:val="BodyText2"/>
        <w:rPr/>
      </w:pPr>
      <w:r>
        <w:rPr/>
        <w:t>"</w:t>
      </w:r>
      <w:r>
        <w:rPr>
          <w:b/>
        </w:rPr>
        <w:t>Bandwidth</w:t>
      </w:r>
      <w:r>
        <w:rPr/>
        <w:t xml:space="preserve">" means the capacity, measured in Mbps (million bits per second), of an electronically continuous path (e.g., by way of fibre optic or other forms of circuits) over a Segment, which path is designed for the electrical transfer of a signal, message or other form of data from and between such locations without loss of information content due to attenuation, distortion or noise.  </w:t>
      </w:r>
    </w:p>
    <w:p>
      <w:pPr>
        <w:pStyle w:val="BodyText2"/>
        <w:rPr/>
      </w:pPr>
      <w:r>
        <w:rPr/>
        <w:t xml:space="preserve">Please note, though, that from the descriptions in the Documents, however, we have in addition assumed that the Bandwidth will be provided as an unswitched point-to-point link across some form of terrestrial or submarine cable or fibre, and not, for example, by way of satellite transponder or microwave fixed link.  </w:t>
      </w:r>
    </w:p>
    <w:p>
      <w:pPr>
        <w:pStyle w:val="BodyText2"/>
        <w:rPr/>
      </w:pPr>
      <w:r>
        <w:rPr/>
        <w:t>"</w:t>
      </w:r>
      <w:r>
        <w:rPr>
          <w:b/>
        </w:rPr>
        <w:t>BTO</w:t>
      </w:r>
      <w:r>
        <w:rPr/>
        <w:t>" means the Bandwidth Trading Organisation.</w:t>
      </w:r>
    </w:p>
    <w:p>
      <w:pPr>
        <w:pStyle w:val="BodyText2"/>
        <w:rPr/>
      </w:pPr>
      <w:r>
        <w:rPr/>
        <w:t>"</w:t>
      </w:r>
      <w:r>
        <w:rPr>
          <w:b/>
        </w:rPr>
        <w:t>Documents</w:t>
      </w:r>
      <w:r>
        <w:rPr/>
        <w:t>" means the Survey Questionnaire (including the annexed Master Agreement and GTCs) and the paper copy of the Enron "Market Starter Kit".</w:t>
      </w:r>
    </w:p>
    <w:p>
      <w:pPr>
        <w:pStyle w:val="BodyText2"/>
        <w:rPr/>
      </w:pPr>
      <w:r>
        <w:rPr/>
        <w:t>"</w:t>
      </w:r>
      <w:r>
        <w:rPr>
          <w:b/>
        </w:rPr>
        <w:t>GTCs</w:t>
      </w:r>
      <w:r>
        <w:rPr/>
        <w:t>" means the General Terms and Conditions for Bandwidth Trading appended to the Survey Questionnaire.</w:t>
      </w:r>
    </w:p>
    <w:p>
      <w:pPr>
        <w:pStyle w:val="BodyText2"/>
        <w:rPr/>
      </w:pPr>
      <w:r>
        <w:rPr/>
        <w:t>"</w:t>
      </w:r>
      <w:r>
        <w:rPr>
          <w:b/>
        </w:rPr>
        <w:t>Master Agreement</w:t>
      </w:r>
      <w:r>
        <w:rPr/>
        <w:t>" means the Master Agreement for Bandwidth Trading appended to the Survey Questionnaire.</w:t>
      </w:r>
    </w:p>
    <w:p>
      <w:pPr>
        <w:pStyle w:val="BodyText2"/>
        <w:rPr/>
      </w:pPr>
      <w:r>
        <w:rPr/>
        <w:t>"</w:t>
      </w:r>
      <w:r>
        <w:rPr>
          <w:b/>
        </w:rPr>
        <w:t>Pooling Point</w:t>
      </w:r>
      <w:r>
        <w:rPr/>
        <w:t>" means a type of telecommunications equipment (and all hardware and software ancillary thereto) either owned and/or operated and/or administered by an entity or entities (collectively termed a "</w:t>
      </w:r>
      <w:r>
        <w:rPr>
          <w:b/>
        </w:rPr>
        <w:t>Pooling Point Developer</w:t>
      </w:r>
      <w:r>
        <w:rPr/>
        <w:t>" or "</w:t>
      </w:r>
      <w:r>
        <w:rPr>
          <w:b/>
        </w:rPr>
        <w:t>PPD</w:t>
      </w:r>
      <w:r>
        <w:rPr/>
        <w:t>")),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BodyText2"/>
        <w:rPr/>
      </w:pPr>
      <w:r>
        <w:rPr/>
        <w:t>"</w:t>
      </w:r>
      <w:r>
        <w:rPr>
          <w:b/>
        </w:rPr>
        <w:t>Proposal</w:t>
      </w:r>
      <w:r>
        <w:rPr/>
        <w:t>" means the Bandwidth Transactions and establishment of Pooling Points, as described in the Documents.</w:t>
      </w:r>
    </w:p>
    <w:p>
      <w:pPr>
        <w:pStyle w:val="BodyText2"/>
        <w:rPr/>
      </w:pPr>
      <w:r>
        <w:rPr/>
        <w:t>"</w:t>
      </w:r>
      <w:r>
        <w:rPr>
          <w:b/>
        </w:rPr>
        <w:t>Segment</w:t>
      </w:r>
      <w:r>
        <w:rPr/>
        <w:t>" means the electronically continuous path between two geographical reference points.</w:t>
      </w:r>
    </w:p>
    <w:p>
      <w:pPr>
        <w:pStyle w:val="BodyText2"/>
        <w:rPr/>
      </w:pPr>
      <w:r>
        <w:rPr/>
        <w:t>"</w:t>
      </w:r>
      <w:r>
        <w:rPr>
          <w:b/>
        </w:rPr>
        <w:t>Transaction</w:t>
      </w:r>
      <w:r>
        <w:rPr/>
        <w:t>" means a transaction between ECI and a third party (the "</w:t>
      </w:r>
      <w:r>
        <w:rPr>
          <w:b/>
        </w:rPr>
        <w:t>Local Counterparty</w:t>
      </w:r>
      <w:r>
        <w:rPr/>
        <w:t>") for the sale or purchase of a specified quantity of Bandwidth over a Segment for a specified duration of time for physical delivery in return for monetary consideration.</w:t>
      </w:r>
    </w:p>
    <w:p>
      <w:pPr>
        <w:pStyle w:val="Heading3"/>
        <w:ind w:hanging="0" w:start="0"/>
        <w:rPr/>
      </w:pPr>
      <w:r>
        <w:rPr/>
        <w:t>Terms defined in the Master Agreement and/or GTCs have the same meanings (where capitalised) in this Report.</w:t>
      </w:r>
    </w:p>
    <w:p>
      <w:pPr>
        <w:pStyle w:val="Heading1"/>
        <w:ind w:hanging="0" w:start="0"/>
        <w:rPr>
          <w:kern w:val="2"/>
        </w:rPr>
      </w:pPr>
      <w:bookmarkStart w:id="11" w:name="__RefHeading___Toc470337117"/>
      <w:bookmarkEnd w:id="11"/>
      <w:r>
        <w:rPr>
          <w:kern w:val="2"/>
        </w:rPr>
        <w:t>EXECUTIVE SUMMARY</w:t>
      </w:r>
    </w:p>
    <w:p>
      <w:pPr>
        <w:pStyle w:val="BodyText"/>
        <w:rPr>
          <w:kern w:val="2"/>
        </w:rPr>
      </w:pPr>
      <w:r>
        <w:rPr>
          <w:kern w:val="2"/>
        </w:rPr>
        <w:t xml:space="preserve">This executive summary highlights those issues identified by the legal survey which we consider, in our absolute discretion, may be of particular interest to ECI, having regard to the stated key objectives of the Survey Questionnaire to obtain advice on the telecommunications regulatory regime, whether trading Bandwidth constitutes a financial market or exchange and the possible impact of competition law. </w:t>
      </w:r>
    </w:p>
    <w:p>
      <w:pPr>
        <w:pStyle w:val="Heading2"/>
        <w:ind w:hanging="0" w:start="0"/>
        <w:rPr>
          <w:kern w:val="2"/>
        </w:rPr>
      </w:pPr>
      <w:bookmarkStart w:id="12" w:name="__RefHeading___Toc470337118"/>
      <w:bookmarkEnd w:id="12"/>
      <w:r>
        <w:rPr>
          <w:kern w:val="2"/>
        </w:rPr>
        <w:t>Restrictions on Foreign Investment</w:t>
      </w:r>
    </w:p>
    <w:p>
      <w:pPr>
        <w:pStyle w:val="Normal"/>
        <w:ind w:start="720" w:end="0"/>
        <w:rPr/>
      </w:pPr>
      <w:r>
        <w:rPr/>
        <w:t xml:space="preserve">The Chinese economy is heavily regulated.  Foreign companies are only permitted to invest in a number of limited ways (essentially, through a representative office or foreign investment enterprise i.e. a sino-foreign joint venture or wholly-owned subsidiary).  In certain industries, foreign investment is restricted or prohibited altogether.  In the case of telecommunications, foreign companies are currently prohibited from participating in the management or operation of telecommunications services in China (either from offshore or through an entity established in China).  These restrictions therefore essentially prevent ECI from implementing many of its various suggested structures.  For example, it can not establish branches in China nor can it establish an entity in China (including a Pooling Point Developer or otherwise) to engage in any activities which would be regarded as participating in the management of China's telecommunications services.  </w:t>
      </w:r>
    </w:p>
    <w:p>
      <w:pPr>
        <w:pStyle w:val="Normal"/>
        <w:ind w:start="720" w:end="0"/>
        <w:rPr/>
      </w:pPr>
      <w:r>
        <w:rPr/>
        <w:t>Under the current regulations, ECI's only remaining option may therefore be to remain offshore (with no participation in networks in China) and enter into a contractual arrangement with a Local Counterparty authorised to buy and sell Bandwidth (which may mean cooperating with one of the small number of China's major telecommunications companies such as China Telecom or Unicom).  We consider the approval and licensing issues raised by an offshore structure in paragraph 3.2 below.</w:t>
      </w:r>
    </w:p>
    <w:p>
      <w:pPr>
        <w:pStyle w:val="Heading2"/>
        <w:ind w:hanging="0" w:start="0"/>
        <w:rPr/>
      </w:pPr>
      <w:bookmarkStart w:id="13" w:name="__RefHeading___Toc470337119"/>
      <w:bookmarkEnd w:id="13"/>
      <w:r>
        <w:rPr/>
        <w:t>Approvals</w:t>
      </w:r>
    </w:p>
    <w:p>
      <w:pPr>
        <w:pStyle w:val="BodyText"/>
        <w:rPr/>
      </w:pPr>
      <w:r>
        <w:rPr/>
        <w:t xml:space="preserve">One of the key aspects in relation to the Proposal is whether approvals are necessary from the Chinese authorities.  </w:t>
      </w:r>
    </w:p>
    <w:p>
      <w:pPr>
        <w:pStyle w:val="BodyText"/>
        <w:rPr/>
      </w:pPr>
      <w:r>
        <w:rPr/>
        <w:t xml:space="preserve">Under Chinese law, a telecommunications licence is required from the MII in order to engage in telecommunications business.  We are not aware of any formal definition of the phrase "engage in telecommunications business".  If, however, under the Transactions, ECI or the Local Counterparty were to sell or buy Bandwidth which crossed a telecommunications network in China owned or operated by ECI or the Local Counterparty, then we believe a telecommunications licence would be necessary.  If the Transactions concerned bandwidth which did not pass over a telecommunications network or circuit in China (ie. ECI and the Local Counterparty were merely traders or system-less providers of network system services), the position is less clear.  However, given the broad ambit of MII's jurisdiction under the relevant regulations, we believe it </w:t>
      </w:r>
      <w:r>
        <w:rPr>
          <w:i/>
        </w:rPr>
        <w:t xml:space="preserve">may </w:t>
      </w:r>
      <w:r>
        <w:rPr/>
        <w:t>still be possible that a telecommunications licence or other approval would be necessary from MII (although we would recommend MII's view be sought on this).</w:t>
      </w:r>
    </w:p>
    <w:p>
      <w:pPr>
        <w:pStyle w:val="BodyText"/>
        <w:rPr/>
      </w:pPr>
      <w:r>
        <w:rPr/>
        <w:t>The Pooling Point is likely to constitute a telecommunications service and thus the Pooling Point Developer would probably need a telecommunications licence.  If so, the Pooling Point Developer would, in our view, also  need to be a domestic entity (ie. not a branch of a foreign company, or a joint venture or subsidiary of a foreign company).</w:t>
      </w:r>
    </w:p>
    <w:p>
      <w:pPr>
        <w:pStyle w:val="BodyText"/>
        <w:rPr/>
      </w:pPr>
      <w:r>
        <w:rPr/>
        <w:t>As stated in paragraph 3.1 above, there is currently a prohibition under Chinese law on foreign investment in the ownership, management, or participation in the operation of, telecommunication services.  We therefore believe that ECI would not be permitted to obtain a telecommunications licence in order to engage in telecommunications business.  Thus, if the authorities regarded ECI's activities as those normally requiring a licence, this could effectively prevent the Proposal from being implemented.</w:t>
      </w:r>
    </w:p>
    <w:p>
      <w:pPr>
        <w:pStyle w:val="BodyText"/>
        <w:rPr/>
      </w:pPr>
      <w:r>
        <w:rPr/>
        <w:t>In order for a Local Counterparty to be able to enter into the Transactions, it must be authorised to do so under its business licence.  In addition, if the Transactions are regarded as engaging in telecommunications business, the Local Counterparty must obtain a telecommunications licence.  Additional approvals may be required from the Ministry which acts as the Local Counterparty's supervisory body (which may be different from the MII).  Many parts of the telecommunications sector are currently closed to domestic competition.  Only a few Ministry-affiliated enterprises are currently entitled to operate public telecommunication networks or international communications business.  There may therefore be only a few telecommunications companies in China which would, in fact, be entitled under their existing licences to buy and sell bandwidth to or from foreign companies, such as ECI.</w:t>
      </w:r>
    </w:p>
    <w:p>
      <w:pPr>
        <w:pStyle w:val="Heading2"/>
        <w:ind w:hanging="0" w:start="0"/>
        <w:rPr/>
      </w:pPr>
      <w:bookmarkStart w:id="14" w:name="__RefHeading___Toc470337120"/>
      <w:bookmarkEnd w:id="14"/>
      <w:r>
        <w:rPr/>
        <w:t>Financial market or exchange</w:t>
      </w:r>
    </w:p>
    <w:p>
      <w:pPr>
        <w:pStyle w:val="BodyText"/>
        <w:rPr/>
      </w:pPr>
      <w:r>
        <w:rPr/>
        <w:t xml:space="preserve">The key issue raised by the Survey Questionnaire is whether the trading of bandwidth would constitute a financial market or exchange.  In our view, the trading of bandwidth under the Transactions would not constitute a financial securities market or exchange if the bandwidth is </w:t>
      </w:r>
      <w:r>
        <w:rPr>
          <w:i/>
        </w:rPr>
        <w:t>physically delivered</w:t>
      </w:r>
      <w:r>
        <w:rPr/>
        <w:t xml:space="preserve">.  The situation, however, is different if the Transactions are </w:t>
      </w:r>
      <w:r>
        <w:rPr>
          <w:i/>
        </w:rPr>
        <w:t xml:space="preserve">closed out </w:t>
      </w:r>
      <w:r>
        <w:rPr/>
        <w:t xml:space="preserve">before physical delivery, as described in Section 2.  In the latter case, the Transactions may constitute futures trading under Chinese law.  Local Counterparties are currently not permitted to engage in futures trading on exchanges outside China.  It is also unlikely that ECI would be permitted to establish a futures exchange in China on which the Local Counterparties could trade.  Given the current legal regime, we therefore do not believe it would be feasible for ECI to develop a commodities market for the trading of bandwidth in China or, indeed, for the Local Counterparties to execute trades on a bandwidth commodities market established by ECI outside China.  </w:t>
      </w:r>
    </w:p>
    <w:p>
      <w:pPr>
        <w:pStyle w:val="Heading2"/>
        <w:ind w:hanging="0" w:start="0"/>
        <w:rPr/>
      </w:pPr>
      <w:bookmarkStart w:id="15" w:name="__RefHeading___Toc470337121"/>
      <w:bookmarkEnd w:id="15"/>
      <w:r>
        <w:rPr/>
        <w:t>Competition law</w:t>
      </w:r>
    </w:p>
    <w:p>
      <w:pPr>
        <w:pStyle w:val="BodyText"/>
        <w:rPr/>
      </w:pPr>
      <w:r>
        <w:rPr/>
        <w:t xml:space="preserve">You also highlighted competition law as a key concern.  The law on competition issues in China is undeveloped.  It provides little guidance on how the Proposal would be regarded.  Our past experience, however, has been that the authorities are more likely to regulate an industry through their control over the approvals process relating to the proper establishment and ongoing operations of enterprises in a particular sector of the economy. </w:t>
      </w:r>
    </w:p>
    <w:p>
      <w:pPr>
        <w:pStyle w:val="Heading1"/>
        <w:ind w:hanging="0" w:start="0"/>
        <w:rPr>
          <w:kern w:val="2"/>
        </w:rPr>
      </w:pPr>
      <w:bookmarkStart w:id="16" w:name="__RefHeading___Toc470337122"/>
      <w:bookmarkEnd w:id="16"/>
      <w:r>
        <w:rPr>
          <w:kern w:val="2"/>
        </w:rPr>
        <w:t>SECTION 1 - BANDWIDTH TRADING TRANSACTIONS</w:t>
      </w:r>
    </w:p>
    <w:p>
      <w:pPr>
        <w:pStyle w:val="Heading2"/>
        <w:keepNext w:val="true"/>
        <w:ind w:hanging="0" w:start="0"/>
        <w:rPr/>
      </w:pPr>
      <w:bookmarkStart w:id="17" w:name="__RefHeading___Toc470337123"/>
      <w:bookmarkEnd w:id="17"/>
      <w:r>
        <w:rPr/>
        <w:t>Assumptions</w:t>
      </w:r>
    </w:p>
    <w:p>
      <w:pPr>
        <w:pStyle w:val="BodyText"/>
        <w:keepNext w:val="true"/>
        <w:rPr>
          <w:kern w:val="2"/>
        </w:rPr>
      </w:pPr>
      <w:r>
        <w:rPr>
          <w:kern w:val="2"/>
        </w:rPr>
        <w:t>You have asked us to assume for the purposes of this section that:</w:t>
      </w:r>
    </w:p>
    <w:p>
      <w:pPr>
        <w:pStyle w:val="Heading4"/>
        <w:ind w:hanging="0" w:start="0"/>
        <w:rPr/>
      </w:pPr>
      <w:r>
        <w:rPr/>
        <w:t>each Local Counterparty is either incorporated, or has a branch or other presence, in China;</w:t>
      </w:r>
    </w:p>
    <w:p>
      <w:pPr>
        <w:pStyle w:val="Heading4"/>
        <w:ind w:hanging="0" w:start="0"/>
        <w:rPr/>
      </w:pPr>
      <w:r>
        <w:rPr/>
        <w:t>ECI is not incorporated in China and does not have a branch or other presence in China;</w:t>
      </w:r>
    </w:p>
    <w:p>
      <w:pPr>
        <w:pStyle w:val="Heading4"/>
        <w:ind w:hanging="0" w:start="0"/>
        <w:rPr/>
      </w:pPr>
      <w:r>
        <w:rPr/>
        <w:t>either or both of ECI or a Local Counterparty may or may not be owners or operators of any telecommunications networks, equipment, facilities or circuits or providers of telecommunications services located in China or elsewhere;</w:t>
      </w:r>
    </w:p>
    <w:p>
      <w:pPr>
        <w:pStyle w:val="Heading4"/>
        <w:ind w:hanging="0" w:start="0"/>
        <w:rPr/>
      </w:pPr>
      <w:r>
        <w:rPr/>
        <w:t>occasionally representatives of ECI may visit potential or actual Local Counterparties in China with a view to marketing the concept of the Transactions to such Local Counterparties and with a view to soliciting such Local Counterparties to enter into the Transactions;</w:t>
      </w:r>
    </w:p>
    <w:p>
      <w:pPr>
        <w:pStyle w:val="Heading4"/>
        <w:ind w:hanging="0" w:start="0"/>
        <w:rPr/>
      </w:pPr>
      <w:r>
        <w:rPr/>
        <w:t xml:space="preserve">the Transactions are in respect of a Segment which is between specific addresses each of which is located </w:t>
      </w:r>
      <w:r>
        <w:rPr>
          <w:i/>
        </w:rPr>
        <w:t>outside</w:t>
      </w:r>
      <w:r>
        <w:rPr/>
        <w:t xml:space="preserve"> of China; and</w:t>
      </w:r>
    </w:p>
    <w:p>
      <w:pPr>
        <w:pStyle w:val="Heading4"/>
        <w:ind w:hanging="0" w:start="0"/>
        <w:rPr/>
      </w:pPr>
      <w:r>
        <w:rPr/>
        <w:t>the Local Counterparties may be corporations or partnerships, utilities, municipalities, government-owned entitles or financial institutions, but they will not be individuals.</w:t>
      </w:r>
    </w:p>
    <w:p>
      <w:pPr>
        <w:pStyle w:val="Heading2"/>
        <w:ind w:hanging="0" w:start="0"/>
        <w:rPr/>
      </w:pPr>
      <w:bookmarkStart w:id="18" w:name="__RefHeading___Toc470337124"/>
      <w:bookmarkEnd w:id="18"/>
      <w:r>
        <w:rPr/>
        <w:t xml:space="preserve">Section 1A:  </w:t>
        <w:tab/>
        <w:t>Licensing and Organisation</w:t>
      </w:r>
    </w:p>
    <w:p>
      <w:pPr>
        <w:pStyle w:val="BodyText"/>
        <w:keepNext w:val="true"/>
        <w:rPr/>
      </w:pPr>
      <w:r>
        <w:rPr/>
        <w:t>As you have highlighted telecommunications regulation as a key area of concern and interest, we have included in the Report a short section setting out a brief overview of the telecommunications regulatory regime in China.</w:t>
      </w:r>
    </w:p>
    <w:p>
      <w:pPr>
        <w:pStyle w:val="BodyText"/>
        <w:keepNext w:val="true"/>
        <w:rPr>
          <w:b/>
          <w:i/>
          <w:i/>
        </w:rPr>
      </w:pPr>
      <w:r>
        <w:rPr>
          <w:b/>
          <w:i/>
        </w:rPr>
        <w:t>Overview of China telecommunications regime</w:t>
      </w:r>
    </w:p>
    <w:p>
      <w:pPr>
        <w:pStyle w:val="BodyText"/>
        <w:rPr/>
      </w:pPr>
      <w:r>
        <w:rPr/>
        <w:t>Prior to 1993, the telecommunications sector was both regulated and operated by the Ministry of Post and Telecommunications (the "</w:t>
      </w:r>
      <w:r>
        <w:rPr>
          <w:b/>
        </w:rPr>
        <w:t>MPT</w:t>
      </w:r>
      <w:r>
        <w:rPr/>
        <w:t>", now the Ministry of Information Industries, the "</w:t>
      </w:r>
      <w:r>
        <w:rPr>
          <w:b/>
        </w:rPr>
        <w:t>MII</w:t>
      </w:r>
      <w:r>
        <w:rPr/>
        <w:t xml:space="preserve">").  As the government monopoly operator, the MPT ran the public telecommunication networks through internal administrative rules and policies.  As a result, there was very little published or codified regulation of the industry. </w:t>
      </w:r>
    </w:p>
    <w:p>
      <w:pPr>
        <w:pStyle w:val="BodyText"/>
        <w:rPr/>
      </w:pPr>
      <w:r>
        <w:rPr/>
        <w:t xml:space="preserve">Since 1993, the market has been opened to a limited extent (but not to foreign investment).  First, the Chinese government has approved the establishment of a small number of Ministry-affiliated state enterprises to compete with the MII's own commercial arm, China Telecom.  Second, certain limited sectors of the telecommunications industry have been opened up to other domestic companies. </w:t>
      </w:r>
    </w:p>
    <w:p>
      <w:pPr>
        <w:pStyle w:val="BodyText"/>
        <w:rPr/>
      </w:pPr>
      <w:r>
        <w:rPr/>
        <w:t>The current dominant telecommunications provider is China Telecom, the operational arm of MPT (which was hived off from the MPT into a separate corporate entity in 1994).  It remains the most important provider of telecommunication services to date and has a virtual monopoly of the public switched telecommunications network ("</w:t>
      </w:r>
      <w:r>
        <w:rPr>
          <w:b/>
        </w:rPr>
        <w:t>PSTN</w:t>
      </w:r>
      <w:r>
        <w:rPr/>
        <w:t xml:space="preserve">").  Its largest commercial competitor is China United Telecommunications Corp. (Unicom, for short) which was established with State Council approval by several Ministries in 1994 and currently holds approximately 5% of China's mobile phone market, although almost none of the fixed-line market.  China's third network operator is the recently established China Netcom Corporation which is reportedly planning to operate a new broadband network in the third quarter of next year.  Despite the gradual opening of the sector to a number of competitors, China Telecom has continued to enjoy a dominant position and favoured treatment from MII.  As a result, the Chinese government has taken a number of additional steps this year to increase competition.  For example, Unicom's position  has been bolstered by granting it approval to develop a CDMA network in China, to compete in the mobile phone market with China Telecom's existing GSM network.    China Telecom has also been divided into four separate companies for fixed line, mobile, paging and satellite operations. </w:t>
      </w:r>
    </w:p>
    <w:p>
      <w:pPr>
        <w:pStyle w:val="BodyText"/>
        <w:rPr/>
      </w:pPr>
      <w:r>
        <w:rPr/>
        <w:t>There is currently no telecommunications law regulating the sector as a whole.  Instead, there are various notices, provisions and opinions issued by the MPT (now, the MII) or its designated lower authorities.  The absence of any basic telecommunications law and the fragmented and often ambiguous nature of the regulations issued by the relevant authorities at central and local level, have made the legal environment for both domestic and foreign investors uncertain.  Moreover, the direction of government policy has often been unclear in the face of wider unresolved conflicts between the various Ministries and government authorities at central and provincial level, over the speed with which the industry should be liberalised, the extent to which foreign investment should be permitted, and the way in which the regulatory functions and operational activities of the industry should be separated.</w:t>
      </w:r>
    </w:p>
    <w:p>
      <w:pPr>
        <w:pStyle w:val="BodyText"/>
        <w:rPr/>
      </w:pPr>
      <w:r>
        <w:rPr/>
        <w:t>To date, opportunities for foreigners to invest and participate in China's telecommunications sector have been limited, particularly at the operational level.  Strictly speaking, foreign companies are only permitted to engage in equipment manufacturing and technology licensing.  They are not permitted to invest in, operate, or participate in the operation of telecommunications services (see Section 1B(d)(iii)).  In practice, foreign investors have adopted a number of quasi-legal structures in the past to get around these restrictions.  One of the most common forms of such experimental structure has been the "China-China-Foreign" (CCF) Structure with Unicom, a contracts-based arrangement adopted by foreign investors to obtain an equity-like return.  The CCF Structure was, however, recently declared to be prohibited by the MII and Unicom directed to dismantle such structures.</w:t>
      </w:r>
    </w:p>
    <w:p>
      <w:pPr>
        <w:pStyle w:val="BodyText2"/>
        <w:ind w:start="709" w:end="0"/>
        <w:rPr/>
      </w:pPr>
      <w:r>
        <w:rPr/>
        <w:t>The chief regulatory body is the MII, the successor to the MPT.  It was formed through the merger of the former MPT, the Ministry of Electronics Industry, the State Radio Commission and the State Council Leading Group on Information, after the recent restructuring of government organisations announced by the State Council in the Notice regarding the Establishment of Departments issued on 29 March 1998.</w:t>
      </w:r>
    </w:p>
    <w:p>
      <w:pPr>
        <w:pStyle w:val="BodyText2"/>
        <w:ind w:start="709" w:end="0"/>
        <w:rPr/>
      </w:pPr>
      <w:r>
        <w:rPr/>
        <w:t>According to press reports, the formation of the MII will be completed by the end of 1999.  After it is fully operational, the MII will consist of 13 units and will take over most of the important responsibilities exercised by the former ministries mentioned above, including, amongst others:</w:t>
      </w:r>
    </w:p>
    <w:p>
      <w:pPr>
        <w:pStyle w:val="BodyText2"/>
        <w:numPr>
          <w:ilvl w:val="0"/>
          <w:numId w:val="20"/>
        </w:numPr>
        <w:ind w:hanging="425" w:start="1134" w:end="0"/>
        <w:rPr/>
      </w:pPr>
      <w:r>
        <w:rPr/>
        <w:t>research and formulation of development strategy and policy for the information industry;</w:t>
      </w:r>
    </w:p>
    <w:p>
      <w:pPr>
        <w:pStyle w:val="BodyText2"/>
        <w:numPr>
          <w:ilvl w:val="0"/>
          <w:numId w:val="20"/>
        </w:numPr>
        <w:ind w:hanging="425" w:start="1134" w:end="0"/>
        <w:rPr/>
      </w:pPr>
      <w:r>
        <w:rPr/>
        <w:t>overall planning and administration  of public communication networks, broadcasting and television network and special communication networks of the military and other government departments;</w:t>
      </w:r>
    </w:p>
    <w:p>
      <w:pPr>
        <w:pStyle w:val="BodyText2"/>
        <w:numPr>
          <w:ilvl w:val="0"/>
          <w:numId w:val="20"/>
        </w:numPr>
        <w:ind w:hanging="425" w:start="1134" w:end="0"/>
        <w:rPr/>
      </w:pPr>
      <w:r>
        <w:rPr/>
        <w:t>formulation of technical standards, policies and systems for electronic information products industry, telecommunication industry, software industry and broadcasting and television networks;</w:t>
      </w:r>
    </w:p>
    <w:p>
      <w:pPr>
        <w:pStyle w:val="BodyText2"/>
        <w:numPr>
          <w:ilvl w:val="0"/>
          <w:numId w:val="20"/>
        </w:numPr>
        <w:ind w:hanging="425" w:start="1134" w:end="0"/>
        <w:rPr/>
      </w:pPr>
      <w:r>
        <w:rPr/>
        <w:t>certification and administration of equipment used in telecommunication networks;</w:t>
      </w:r>
    </w:p>
    <w:p>
      <w:pPr>
        <w:pStyle w:val="BodyText2"/>
        <w:numPr>
          <w:ilvl w:val="0"/>
          <w:numId w:val="20"/>
        </w:numPr>
        <w:ind w:hanging="425" w:start="1134" w:end="0"/>
        <w:rPr/>
      </w:pPr>
      <w:r>
        <w:rPr/>
        <w:t>allocation and administration of radio frequencies, satellite orbiting paths and addresses, codes and numbers used by the telecommunication networks;</w:t>
      </w:r>
    </w:p>
    <w:p>
      <w:pPr>
        <w:pStyle w:val="BodyText2"/>
        <w:numPr>
          <w:ilvl w:val="0"/>
          <w:numId w:val="20"/>
        </w:numPr>
        <w:ind w:hanging="425" w:start="1134" w:end="0"/>
        <w:rPr/>
      </w:pPr>
      <w:r>
        <w:rPr/>
        <w:t>supervision of the telecommunication and information service markets and the issuance of relevant licences; and</w:t>
      </w:r>
    </w:p>
    <w:p>
      <w:pPr>
        <w:pStyle w:val="BodyText2"/>
        <w:numPr>
          <w:ilvl w:val="0"/>
          <w:numId w:val="20"/>
        </w:numPr>
        <w:ind w:hanging="425" w:start="1134" w:end="0"/>
        <w:rPr/>
      </w:pPr>
      <w:r>
        <w:rPr/>
        <w:t>supervision and administration of the postal service.</w:t>
      </w:r>
    </w:p>
    <w:p>
      <w:pPr>
        <w:pStyle w:val="BodyText2"/>
        <w:ind w:start="709" w:end="0"/>
        <w:rPr/>
      </w:pPr>
      <w:r>
        <w:rPr/>
        <w:t xml:space="preserve">Details of its functions once the reorganisation is complete have yet to be made publicly available.  Neither are we aware of any announcement or guidelines on how the MPT's local level bureaux will be reorganised.  Given its previous role as the sole provider of telecommunication services and its continuing close affiliation to the dominant provider, China Telecom, some critics question its effectiveness as a truly independent regulator.  </w:t>
      </w:r>
    </w:p>
    <w:p>
      <w:pPr>
        <w:pStyle w:val="BodyText"/>
        <w:rPr/>
      </w:pPr>
      <w:r>
        <w:rPr/>
        <w:t>The regulations governing China's telecommunications industry have been developing fast in the face of rapid growth in, and the gradual liberalisation of, the sector.  Two major pieces of telecommunication legislation have also been drafted and are expected to be enacted into law shortly.  These are the Provisions on Telecommunications Administration (which were originally reportedly to be enacted before the end of this year although this now seems unlikely) and the Telecommunications Law.  One possible reason for the delay in enacting these pieces of legislation has been the ongoing negotiations for China's entry into the WTO.</w:t>
      </w:r>
    </w:p>
    <w:p>
      <w:pPr>
        <w:pStyle w:val="BodyText"/>
        <w:rPr/>
      </w:pPr>
      <w:r>
        <w:rPr/>
        <w:t>As you are probably aware, a major recent development in China's negotiations with the WTO has been the signing on 17 November of this year of the U.S.-China Bilateral WTO Agreement.  Although the details of the Agreement are as yet unclear, a summary of its contents has been reported by the White House</w:t>
      </w:r>
      <w:r>
        <w:rPr>
          <w:rStyle w:val="FootnoteCharacters"/>
          <w:rStyle w:val="FootnoteReference"/>
        </w:rPr>
        <w:footnoteReference w:id="2"/>
      </w:r>
      <w:r>
        <w:rPr/>
        <w:t>.  According to this summary, China has agreed to make significant concessions to open up its telecommunications services.  In particular, China has agreed to:</w:t>
      </w:r>
    </w:p>
    <w:p>
      <w:pPr>
        <w:pStyle w:val="ListLegal1"/>
        <w:numPr>
          <w:ilvl w:val="0"/>
          <w:numId w:val="12"/>
        </w:numPr>
        <w:tabs>
          <w:tab w:val="clear" w:pos="720"/>
        </w:tabs>
        <w:ind w:hanging="414" w:start="1134" w:end="0"/>
        <w:rPr/>
      </w:pPr>
      <w:r>
        <w:rPr/>
        <w:t>implement the pro-competitive regulatory principles embodied in the Basic Telecommunications Agreement (including cost-based pricing, interconnection rights and an independent regulatory authority);</w:t>
      </w:r>
    </w:p>
    <w:p>
      <w:pPr>
        <w:pStyle w:val="ListLegal1"/>
        <w:numPr>
          <w:ilvl w:val="0"/>
          <w:numId w:val="12"/>
        </w:numPr>
        <w:tabs>
          <w:tab w:val="clear" w:pos="720"/>
        </w:tabs>
        <w:ind w:hanging="414" w:start="1134" w:end="0"/>
        <w:rPr/>
      </w:pPr>
      <w:r>
        <w:rPr/>
        <w:t>permit foreign investment.  China will allow up to 49% foreign ownership in international and domestic services (within 6 years) and mobile services (within 5 years), and up to 50% foreign ownership in value-added paging services (within 2 years); and</w:t>
      </w:r>
    </w:p>
    <w:p>
      <w:pPr>
        <w:pStyle w:val="ListLegal1"/>
        <w:numPr>
          <w:ilvl w:val="0"/>
          <w:numId w:val="12"/>
        </w:numPr>
        <w:tabs>
          <w:tab w:val="clear" w:pos="720"/>
        </w:tabs>
        <w:ind w:hanging="414" w:start="1134" w:end="0"/>
        <w:rPr/>
      </w:pPr>
      <w:r>
        <w:rPr/>
        <w:t>remove geographical restrictions.  The restrictions will be removed over two to six years depending on the type of telecommunications service.  In the key "corridor" for domestic traffic of Beijing, Shanghai and Guangzhou, foreign investment will be permitted immediately upon accession in all areas.</w:t>
      </w:r>
    </w:p>
    <w:p>
      <w:pPr>
        <w:pStyle w:val="BodyText"/>
        <w:rPr/>
      </w:pPr>
      <w:r>
        <w:rPr/>
        <w:t>Whilst the exact terms of the agreement should be treated with caution at this preliminary stage, the Agreement indicates that some form of direct foreign investment will be permitted in the telecommunications industry upon China's accession to the WTO.</w:t>
      </w:r>
    </w:p>
    <w:p>
      <w:pPr>
        <w:pStyle w:val="BodyText"/>
        <w:rPr/>
      </w:pPr>
      <w:r>
        <w:rPr/>
        <w:t>In summary then, the telecommunications regulatory regime in China is in a state of particular flux at the moment.  Competition in respect of most telecommunications services is limited to a small number of Ministry-affiliated enterprises, and China Telecom retains its effective monopoly in the fixed-line sector.  There is likely, however, to be further gradual domestic liberalisation and greater opportunities for foreign investment over the next few years.  These developments should expand the opportunities and options available to ECI for implementing its Proposal.</w:t>
      </w:r>
    </w:p>
    <w:p>
      <w:pPr>
        <w:pStyle w:val="BodyText"/>
        <w:rPr/>
      </w:pPr>
      <w:r>
        <w:rPr/>
        <w:t>The remainder of this Report is based upon our understanding of the current regulatory regime.</w:t>
      </w:r>
    </w:p>
    <w:p>
      <w:pPr>
        <w:pStyle w:val="BodyText"/>
        <w:keepNext w:val="true"/>
        <w:ind w:hanging="652" w:start="1276" w:end="0"/>
        <w:rPr/>
      </w:pPr>
      <w:r>
        <w:rPr/>
        <w:t>(a)(i)</w:t>
        <w:tab/>
      </w:r>
      <w:r>
        <w:rPr>
          <w:b/>
          <w:i/>
        </w:rPr>
        <w:t>How would the Transactions fall to be examined or categorised under the telecoms regulatory regime in China and what would be the impact of such categorisation?</w:t>
      </w:r>
    </w:p>
    <w:p>
      <w:pPr>
        <w:pStyle w:val="BodyText"/>
        <w:keepNext w:val="true"/>
        <w:ind w:start="1239" w:end="0"/>
        <w:rPr/>
      </w:pPr>
      <w:r>
        <w:rPr/>
        <w:t>It is not clear how the Transactions fall to be examined or categorised under the telecommunications regulatory regime in China.  We are not aware of any persons carrying on activities similar to the Transactions to date in China and the MII has not publicly stated its position on such activities.</w:t>
      </w:r>
    </w:p>
    <w:p>
      <w:pPr>
        <w:pStyle w:val="BodyText"/>
        <w:ind w:start="1239" w:end="0"/>
        <w:rPr/>
      </w:pPr>
      <w:r>
        <w:rPr/>
        <w:t>The regulatory body supervising the administration of the telecommunications sector is the MII</w:t>
      </w:r>
      <w:r>
        <w:rPr>
          <w:rStyle w:val="FootnoteCharacters"/>
          <w:rStyle w:val="FootnoteReference"/>
        </w:rPr>
        <w:footnoteReference w:id="3"/>
      </w:r>
      <w:r>
        <w:rPr/>
        <w:t xml:space="preserve"> and it has taken over from its predecessor, the MPT, responsibility for the administration of the licensing and approval of entities engaged in the telecommunications business.</w:t>
      </w:r>
      <w:r>
        <w:rPr>
          <w:rStyle w:val="FootnoteCharacters"/>
          <w:rStyle w:val="FootnoteReference"/>
        </w:rPr>
        <w:footnoteReference w:id="4"/>
      </w:r>
      <w:r>
        <w:rPr/>
        <w:t xml:space="preserve">  According to various notices,</w:t>
      </w:r>
      <w:r>
        <w:rPr>
          <w:rStyle w:val="FootnoteCharacters"/>
          <w:rStyle w:val="FootnoteReference"/>
        </w:rPr>
        <w:footnoteReference w:id="5"/>
      </w:r>
      <w:r>
        <w:rPr/>
        <w:t xml:space="preserve"> no entity is entitled to engage in telecommunications business without the prior approval of the MII (or its designated lower authorities).  We are not aware of any specific definition of the phrase "engage in telecommunications business".  </w:t>
      </w:r>
    </w:p>
    <w:p>
      <w:pPr>
        <w:pStyle w:val="BodyText"/>
        <w:ind w:start="1239" w:end="0"/>
        <w:rPr/>
      </w:pPr>
      <w:r>
        <w:rPr/>
        <w:t>In relation to this part of the Survey Questionnaire, where the Transactions are in respect of a Segment which is between specific addresses each of which is located outside of China, the issue is whether ECI or a Local Counterparty would, in acting as Buyer or Seller under a Transaction or in marketing a Transaction, be considered to be engaged in telecommunications business.  If so, such activities would require the prior approval of the MII.</w:t>
      </w:r>
    </w:p>
    <w:p>
      <w:pPr>
        <w:pStyle w:val="BodyText"/>
        <w:ind w:start="1239" w:end="0"/>
        <w:rPr/>
      </w:pPr>
      <w:r>
        <w:rPr/>
        <w:t xml:space="preserve">When the Transactions concern Bandwidth on a Segment crossing a telecommunications network or circuit in China (even though the Segment end-points and Pooling Points are located outside China), it is likely that the person owning or operating such a network or circuit, or supplying Bandwidth over such a network or circuit, would be considered to be engaged in telecommunications business in China and licensing by the MII would be required. </w:t>
      </w:r>
    </w:p>
    <w:p>
      <w:pPr>
        <w:pStyle w:val="BodyText"/>
        <w:ind w:start="1239" w:end="0"/>
        <w:rPr/>
      </w:pPr>
      <w:r>
        <w:rPr/>
        <w:t>Where the Transactions concern Bandwidth on a Segment which does not cross a telecommunications network or circuit in China (and the Segment end-points and Pooling Points are located outside China), the position is less clear.  It is arguable that such Transactions relate to telecommunications business conducted outside China and the MII should, as a matter of policy, not find it necessary to regulate such activities.  Nonetheless, in view of the broad ambit of MII's jurisdiction as described in the relevant notices and regulations, it is possible that the MII may take the view that marketing Transactions to, or entering into Transactions with, Local Counterparties would amount to engaging in telecommunications business in China.  An interesting analogy which provides some support for this possibility is call-back business, the advertisement of which by foreign companies in China was described in a 1995 MPT public announcement as contrary to China's telecommunications laws.</w:t>
      </w:r>
      <w:r>
        <w:rPr>
          <w:rStyle w:val="FootnoteCharacters"/>
          <w:rStyle w:val="FootnoteReference"/>
        </w:rPr>
        <w:footnoteReference w:id="6"/>
      </w:r>
      <w:r>
        <w:rPr/>
        <w:t xml:space="preserve">  Call-back business does, however, have a nexus with China.</w:t>
      </w:r>
    </w:p>
    <w:p>
      <w:pPr>
        <w:pStyle w:val="BodyText"/>
        <w:ind w:start="1239" w:end="0"/>
        <w:rPr/>
      </w:pPr>
      <w:r>
        <w:rPr/>
        <w:t xml:space="preserve">Given that the position is less than clear, we would advise that the MII's views should be sought before any Transactions are made with, or marketed to, Local Counterparties in China particularly given the current rapid development of both policy and law in the Chinese telecommunications sector, and the proposed enactment of new legislation shortly governing the administration of telecommunications.  </w:t>
      </w:r>
    </w:p>
    <w:p>
      <w:pPr>
        <w:pStyle w:val="BodyText"/>
        <w:ind w:hanging="615" w:start="1239" w:end="0"/>
        <w:rPr/>
      </w:pPr>
      <w:r>
        <w:rPr/>
        <w:t>(a)(ii)</w:t>
        <w:tab/>
      </w:r>
      <w:r>
        <w:rPr>
          <w:b/>
          <w:i/>
        </w:rPr>
        <w:t>What forms of telecommunications licences would be required, if any, by either or both of ECI and the Local Counterparty in respect of the Transactions and how would this be obtained; (iii) which types of licence would the Transaction operate under e</w:t>
      </w:r>
      <w:r>
        <w:rPr/>
        <w:t>.</w:t>
      </w:r>
      <w:r>
        <w:rPr>
          <w:b/>
          <w:i/>
        </w:rPr>
        <w:t>g</w:t>
      </w:r>
      <w:r>
        <w:rPr/>
        <w:t>.</w:t>
      </w:r>
      <w:r>
        <w:rPr>
          <w:b/>
          <w:i/>
        </w:rPr>
        <w:t xml:space="preserve"> individual licence, class licence or exemption?  </w:t>
      </w:r>
    </w:p>
    <w:p>
      <w:pPr>
        <w:pStyle w:val="BodyText"/>
        <w:ind w:start="1276" w:end="0"/>
        <w:rPr/>
      </w:pPr>
      <w:r>
        <w:rPr/>
        <w:t xml:space="preserve">It is not clear what sort of licence or approval would be required for the Transactions or, indeed, that such a licence would be granted.  </w:t>
      </w:r>
    </w:p>
    <w:p>
      <w:pPr>
        <w:pStyle w:val="BodyText"/>
        <w:ind w:start="1276" w:end="0"/>
        <w:rPr/>
      </w:pPr>
      <w:r>
        <w:rPr/>
        <w:t xml:space="preserve">As previously mentioned, many sectors of the telecommunications industry still remain unopen to the public and in practice are operated by Ministry-affiliated enterprises (such as China Telecom or Unicom) under special licences granted to them by the MII at the time of their establishment.  </w:t>
      </w:r>
    </w:p>
    <w:p>
      <w:pPr>
        <w:pStyle w:val="BodyText"/>
        <w:ind w:start="1276" w:end="0"/>
        <w:rPr/>
      </w:pPr>
      <w:r>
        <w:rPr/>
        <w:t xml:space="preserve">Although a small number of areas in the telecommunications industry have recently been opened to other domestic operators, no foreign investors are allowed to participate.  </w:t>
      </w:r>
    </w:p>
    <w:p>
      <w:pPr>
        <w:pStyle w:val="BodyText"/>
        <w:ind w:start="1276" w:end="0"/>
        <w:rPr/>
      </w:pPr>
      <w:r>
        <w:rPr/>
        <w:t>The main regulations (the "</w:t>
      </w:r>
      <w:r>
        <w:rPr>
          <w:b/>
        </w:rPr>
        <w:t>Interim Telecom Procedures</w:t>
      </w:r>
      <w:r>
        <w:rPr/>
        <w:t>") governing these deregulated services were issued by the MPT in 1993.</w:t>
      </w:r>
      <w:r>
        <w:rPr>
          <w:rStyle w:val="FootnoteCharacters"/>
          <w:rStyle w:val="FootnoteReference"/>
        </w:rPr>
        <w:footnoteReference w:id="7"/>
      </w:r>
      <w:r>
        <w:rPr/>
        <w:t xml:space="preserve">  Enterprises wishing to engage in deregulated telecommunications business are required under the Interim Telecom Procedures, depending on the specific type of business they wish to engage in, to either obtain approval, or register with, the MII or its local designated authorities.  </w:t>
      </w:r>
    </w:p>
    <w:p>
      <w:pPr>
        <w:pStyle w:val="BodyText"/>
        <w:ind w:start="1276" w:end="0"/>
        <w:rPr/>
      </w:pPr>
      <w:r>
        <w:rPr/>
        <w:t>Approval is required in respect of the services such as radio, paging, 800 megahertz trunked telephone, 450 megahertz mobile radio communications, domestic VSAT communications, and other telecommunication services which require a service permit as approved by the MII.</w:t>
      </w:r>
    </w:p>
    <w:p>
      <w:pPr>
        <w:pStyle w:val="BodyText"/>
        <w:ind w:start="1276" w:end="0"/>
        <w:rPr/>
      </w:pPr>
      <w:r>
        <w:rPr/>
        <w:t>Registration (rather than approval) with the local authorities is required for value-added services such as telephone information services, computer information services, electronic mail, electronic data exchange, video text, and other telecommunication services which require a submission as approved by the MII.</w:t>
      </w:r>
    </w:p>
    <w:p>
      <w:pPr>
        <w:pStyle w:val="BodyText"/>
        <w:ind w:start="1276" w:end="0"/>
        <w:rPr/>
      </w:pPr>
      <w:r>
        <w:rPr/>
        <w:t>According to MPT Notices, the licence for deregulated telecommunications services will generally be limited to local business.  International telecommunications business is the province of those Ministry-affiliated enterprises granted a special licence by the MPT to do so.  Other operators are expected to use the networks managed by the Ministry-affiliated enterprises for their long distance telecommunications.</w:t>
      </w:r>
      <w:r>
        <w:rPr>
          <w:rStyle w:val="FootnoteCharacters"/>
          <w:rStyle w:val="FootnoteReference"/>
        </w:rPr>
        <w:footnoteReference w:id="8"/>
      </w:r>
      <w:r>
        <w:rPr/>
        <w:t xml:space="preserve">  </w:t>
      </w:r>
    </w:p>
    <w:p>
      <w:pPr>
        <w:pStyle w:val="BodyText"/>
        <w:ind w:start="1276" w:end="0"/>
        <w:rPr/>
      </w:pPr>
      <w:r>
        <w:rPr/>
        <w:t>As is apparent, the current licensing regime for non-public operators does not anticipate an entity engaging in activities similar to the Transactions and so special approval might be necessary.  Furthermore, the regulations only permit a domestic operator to obtain a telecommunications licence.  Thus, ECI (as a foreign company) would be unlikely to obtain a licence to engage in telecommunications business, or other form of approval (see Section 1B(d)(iii)).</w:t>
      </w:r>
    </w:p>
    <w:p>
      <w:pPr>
        <w:pStyle w:val="Normal"/>
        <w:keepNext w:val="true"/>
        <w:ind w:hanging="624" w:start="1247" w:end="0"/>
        <w:rPr/>
      </w:pPr>
      <w:r>
        <w:rPr/>
        <w:t>(b)</w:t>
        <w:tab/>
      </w:r>
      <w:r>
        <w:rPr>
          <w:b/>
          <w:i/>
        </w:rPr>
        <w:t>Which other elements of the telecommunications regulatory regime in China would affect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BodyText"/>
        <w:ind w:start="1276" w:end="0"/>
        <w:rPr/>
      </w:pPr>
      <w:r>
        <w:rPr/>
        <w:t>If the Segment is outside of China and neither ECI nor the Local Counterparty are regarded as engaging in telecommunication services in China, we do not believe the Chinese telecommunications regulatory regime is likely to impact directly on the Transactions (but see capacity issue for Local Counterparty as described in Section 1B(a)).</w:t>
      </w:r>
    </w:p>
    <w:p>
      <w:pPr>
        <w:pStyle w:val="BodyText"/>
        <w:ind w:start="1276" w:end="0"/>
        <w:rPr/>
      </w:pPr>
      <w:r>
        <w:rPr/>
        <w:t>However, to the extent that either ECI or the Local Counterparty are engaging in telecommunication services in China (for example, in operating networks in China over which the Bandwidth is supplied if the Segment crosses China), then a variety of telecommunications regulations may impact on their operations and, indirectly, on the Transactions.</w:t>
      </w:r>
    </w:p>
    <w:p>
      <w:pPr>
        <w:pStyle w:val="BodyText"/>
        <w:ind w:start="1276" w:end="0"/>
        <w:rPr/>
      </w:pPr>
      <w:r>
        <w:rPr/>
        <w:t>Areas to consider include:</w:t>
      </w:r>
    </w:p>
    <w:p>
      <w:pPr>
        <w:pStyle w:val="BodyText"/>
        <w:numPr>
          <w:ilvl w:val="0"/>
          <w:numId w:val="16"/>
        </w:numPr>
        <w:tabs>
          <w:tab w:val="clear" w:pos="720"/>
          <w:tab w:val="left" w:pos="1701" w:leader="none"/>
        </w:tabs>
        <w:ind w:hanging="425" w:start="1701" w:end="0"/>
        <w:rPr/>
      </w:pPr>
      <w:r>
        <w:rPr>
          <w:b/>
        </w:rPr>
        <w:t>Pricing</w:t>
      </w:r>
      <w:r>
        <w:rPr/>
        <w:t>.  We are not aware of any tariffs guidelines governing the price at which bandwidth should be sold to or by operators in China.  There are, however, telecommunications tariffs or guidelines governing the price of telecommunication services such as local and international phone calls, phone installation, Internet entrance and usage fees and others.  The price standard for fees to be charged by any trans-provincial operator to its subscribers needs to be approved by the MII in consultation with the price control department of the State Development Planning Department and the price standard for fees to be charged by any particular local operator to its subscribers needs to be approved by the local PTA in consultation with the provincial price control bureau.</w:t>
      </w:r>
    </w:p>
    <w:p>
      <w:pPr>
        <w:pStyle w:val="BodyText"/>
        <w:numPr>
          <w:ilvl w:val="0"/>
          <w:numId w:val="16"/>
        </w:numPr>
        <w:tabs>
          <w:tab w:val="clear" w:pos="720"/>
          <w:tab w:val="left" w:pos="1701" w:leader="none"/>
        </w:tabs>
        <w:ind w:hanging="425" w:start="1701" w:end="0"/>
        <w:rPr/>
      </w:pPr>
      <w:r>
        <w:rPr>
          <w:b/>
        </w:rPr>
        <w:t>Interconnection</w:t>
      </w:r>
      <w:r>
        <w:rPr/>
        <w:t>.  The MII and regional PTA must agree to interconnect any proposed network.  Interconnection occurs through commercially negotiated agreements or on terms specified by the relevant regulatory or government body.  In the past, some operators (such as Unicom) have had problems obtaining interconnection with the PSTN despite being authorised in principle to do so by MII.  This has made it difficult for them to compete on an equal footing with China Telecom.</w:t>
      </w:r>
    </w:p>
    <w:p>
      <w:pPr>
        <w:pStyle w:val="Normal"/>
        <w:ind w:start="1701" w:end="0"/>
        <w:rPr/>
      </w:pPr>
      <w:r>
        <w:rPr/>
        <w:t>Perhaps in response to these types of difficulties, the MII has this year issued the Interim Regulation on Interconnection of Telecommunication Networks (the "</w:t>
      </w:r>
      <w:r>
        <w:rPr>
          <w:b/>
        </w:rPr>
        <w:t>Interconnection Regulations</w:t>
      </w:r>
      <w:r>
        <w:rPr/>
        <w:t>").  Although we have not been able to obtain a copy of these regulations to date,  from press reports made in November, we understand that the Interconnection Regulations are designed to facilitate the interconnection of network users to telephone, data and other communication networks in China.</w:t>
      </w:r>
    </w:p>
    <w:p>
      <w:pPr>
        <w:pStyle w:val="Normal"/>
        <w:ind w:start="1701" w:end="0"/>
        <w:rPr/>
      </w:pPr>
      <w:r>
        <w:rPr/>
        <w:t>The Interconnection Regulations are applicable to local fixed line telephone networks, domestic and international telephone networks, land based cellular mobile communication networks, satellite mobile communication networks, data communication networks and other communication networks as stipulated by the MII, as well as to their operators.</w:t>
      </w:r>
    </w:p>
    <w:p>
      <w:pPr>
        <w:pStyle w:val="Normal"/>
        <w:ind w:start="1701" w:end="0"/>
        <w:rPr/>
      </w:pPr>
      <w:r>
        <w:rPr/>
        <w:t>The Interconnection Regulations have introduced the concept of "leading telecommunication enterprises", which refers to any enterprise which operates fixed line local telephone business and occupies more than 50% of the share in the market of the local network area.  The Interconnection Regulation provides that a leading telecommunication enterprise is obliged to equip, restructure or expand its network to ensure successful interconnection required by other telecommunication enterprises within prescribed time periods.  In addition, interconnecting parties must ensure that the quality of transmission between their networks must not be lower than the quality of transmission within their own networks.</w:t>
      </w:r>
    </w:p>
    <w:p>
      <w:pPr>
        <w:pStyle w:val="Normal"/>
        <w:tabs>
          <w:tab w:val="clear" w:pos="720"/>
          <w:tab w:val="left" w:pos="6946" w:leader="none"/>
        </w:tabs>
        <w:ind w:start="1701" w:end="0"/>
        <w:rPr/>
      </w:pPr>
      <w:r>
        <w:rPr/>
        <w:t>The Interconnection Regulations further provide that interconnection fees should be allocated and settled in accordance with the settlement rules issued by the MII.  In addition, the interconnection fees should be determined based on costs which must be verified by an agent appointed by the MII, and the interconnection agreement must be approved by the MII.</w:t>
      </w:r>
    </w:p>
    <w:p>
      <w:pPr>
        <w:pStyle w:val="BodyText"/>
        <w:numPr>
          <w:ilvl w:val="0"/>
          <w:numId w:val="16"/>
        </w:numPr>
        <w:tabs>
          <w:tab w:val="clear" w:pos="720"/>
          <w:tab w:val="left" w:pos="1701" w:leader="none"/>
        </w:tabs>
        <w:ind w:hanging="425" w:start="1701" w:end="0"/>
        <w:rPr/>
      </w:pPr>
      <w:r>
        <w:rPr>
          <w:b/>
        </w:rPr>
        <w:t>Equipment</w:t>
      </w:r>
      <w:r>
        <w:rPr/>
        <w:t>.  According to regulations published by MPT in 1997,</w:t>
      </w:r>
      <w:r>
        <w:rPr>
          <w:rStyle w:val="FootnoteCharacters"/>
          <w:rStyle w:val="FootnoteReference"/>
        </w:rPr>
        <w:footnoteReference w:id="9"/>
      </w:r>
      <w:r>
        <w:rPr/>
        <w:t xml:space="preserve"> all imported equipment used on national public communications networks must have been issued with a Quality Certificate by the MII.  Also, the State Council has reportedly recently issued a directive to local operators of GSM networks to purchase locally produced telephone equipment rather than imports.  Directives of this nature are not uncommon in sensitive sectors of the Chinese economy.</w:t>
      </w:r>
    </w:p>
    <w:p>
      <w:pPr>
        <w:pStyle w:val="Normal"/>
        <w:ind w:hanging="624" w:start="1248" w:end="0"/>
        <w:rPr/>
      </w:pPr>
      <w:r>
        <w:rPr/>
        <w:t>(c)(i)</w:t>
      </w:r>
      <w:r>
        <w:rPr>
          <w:b/>
          <w:i/>
        </w:rPr>
        <w:tab/>
        <w:t>Are different licences necessary in China for those who operate networks as opposed to those who merely provide services over those networks and which category(ies) would ECI, on the one hand, and the Local Counterparties, on the other hand, as parties to the Transactions fall into?</w:t>
      </w:r>
    </w:p>
    <w:p>
      <w:pPr>
        <w:pStyle w:val="BodyText2"/>
        <w:ind w:start="1276" w:end="0"/>
        <w:rPr/>
      </w:pPr>
      <w:r>
        <w:rPr/>
        <w:t>As mentioned in Section 1A(a)(ii), it is not clear what are the different classes of licence which have been granted by MII to its public operators (such as China Telecom or Unicom) in respect of the operation of networks and provision of services over those networks.  For the deregulated telecommunications business operated by non-public entities pursuant to the Interim Telecom Procedures, there does appear to be a broad distinction drawn between licences for certain value-added types of services and other services.</w:t>
      </w:r>
    </w:p>
    <w:p>
      <w:pPr>
        <w:pStyle w:val="BodyText2"/>
        <w:ind w:start="1276" w:end="0"/>
        <w:rPr/>
      </w:pPr>
      <w:r>
        <w:rPr/>
        <w:t xml:space="preserve">The Transactions can not be readily classified within the current licensing regime in China.  As such, we believe special approval might be necessary if MII regarded the Transactions as "engaging in telecommunications business".  </w:t>
      </w:r>
    </w:p>
    <w:p>
      <w:pPr>
        <w:pStyle w:val="Normal"/>
        <w:keepNext w:val="true"/>
        <w:ind w:hanging="624" w:start="1248" w:end="0"/>
        <w:rPr/>
      </w:pPr>
      <w:r>
        <w:rPr/>
        <w:t>(c)(ii)</w:t>
        <w:tab/>
      </w:r>
      <w:r>
        <w:rPr>
          <w:b/>
          <w:i/>
        </w:rPr>
        <w:t>Does the status of the parties to the Transaction affect the terms of trade between them as a result of the telecommunications regulatory regime in China?</w:t>
      </w:r>
    </w:p>
    <w:p>
      <w:pPr>
        <w:pStyle w:val="Normal"/>
        <w:keepNext w:val="true"/>
        <w:ind w:hanging="1" w:start="1277" w:end="0"/>
        <w:rPr/>
      </w:pPr>
      <w:r>
        <w:rPr/>
        <w:t>The status of the parties to the Transaction would not affect the terms of trade between them as a result of the telecommunications regulatory regime in China.</w:t>
      </w:r>
    </w:p>
    <w:p>
      <w:pPr>
        <w:pStyle w:val="Normal"/>
        <w:keepNext w:val="true"/>
        <w:ind w:hanging="624" w:start="1248" w:end="0"/>
        <w:rPr/>
      </w:pPr>
      <w:r>
        <w:rPr/>
        <w:t>(c)(iii)</w:t>
      </w:r>
      <w:r>
        <w:rPr>
          <w:b/>
          <w:i/>
        </w:rPr>
        <w:tab/>
        <w:t>Is either of the above two positions (Section 1A(c)(i) and (c)(ii)) altered if the ownership of the facility and the operation of it are not done by one and the same entity?</w:t>
      </w:r>
    </w:p>
    <w:p>
      <w:pPr>
        <w:pStyle w:val="BodyText"/>
        <w:ind w:start="1276" w:end="0"/>
        <w:rPr/>
      </w:pPr>
      <w:r>
        <w:rPr/>
        <w:t>The relevant legislation does not distinguish between the ownership and operation of telecommunications services.  The governing principle in respect of the licensing of telecommunications services appears to be in respect of whether or not the entity "engages in" telecommunications business.  In our view, an entity may therefore require a telecommunications licence not only if it operates telecommunications facilities in China but also if it only owned such facilities.</w:t>
      </w:r>
    </w:p>
    <w:p>
      <w:pPr>
        <w:pStyle w:val="Normal"/>
        <w:ind w:hanging="624" w:start="1248" w:end="0"/>
        <w:rPr/>
      </w:pPr>
      <w:r>
        <w:rPr/>
        <w:t>(d)(i)</w:t>
        <w:tab/>
      </w:r>
      <w:r>
        <w:rPr>
          <w:b/>
          <w:i/>
        </w:rPr>
        <w:t>To the extent not already covered by the questions in Section 1A paragraphs (a) to (c) above, are any other licences, permits, consents or other governmental approvals required in China (and, if so, by whom) in order for ECI to enter into the Transactions with the Local Counterparties?</w:t>
      </w:r>
    </w:p>
    <w:p>
      <w:pPr>
        <w:pStyle w:val="BodyText"/>
        <w:ind w:start="1276" w:end="0"/>
        <w:rPr/>
      </w:pPr>
      <w:r>
        <w:rPr/>
        <w:t xml:space="preserve">We are not aware of any other licences, permits, consents or other Chinese government approvals which would be required as a matter of law in order to enter into the Transactions (but see Section 1B(a) on the authorised business scope of the Local Counterparty).  However, depending on its scale and given the lack of precedent for such a Proposal, additional Ministries or government departments may be involved in practice (for example, including the "departments of charge" of the Local Counterparties or network operators over whose networks the Bandwidth will be made available in China).  </w:t>
      </w:r>
    </w:p>
    <w:p>
      <w:pPr>
        <w:pStyle w:val="BodyText"/>
        <w:ind w:start="1276" w:end="0"/>
        <w:rPr/>
      </w:pPr>
      <w:r>
        <w:rPr/>
        <w:t>In addition, you should be aware of the foreign exchange regime in China which requires any remittance of foreign exchange offshore to be subject to an approval or verification procedure.  In particular, pursuant to foreign exchange regulations issue in 1996, foreign exchange in respect of current items (i.e. recurrent trade-related items, which we believe would be the correct categorisation for the Transactions) can be purchased at a designated foreign exchange bank by providing the valid commercial documentation for verification (in this case, the Master Agreement or GTCs, together with the Confirmation Slip) (see also Section 1G).</w:t>
      </w:r>
    </w:p>
    <w:p>
      <w:pPr>
        <w:pStyle w:val="Normal"/>
        <w:keepNext w:val="true"/>
        <w:ind w:hanging="624" w:start="1247" w:end="0"/>
        <w:rPr/>
      </w:pPr>
      <w:r>
        <w:rPr/>
        <w:t>(d)(ii)</w:t>
      </w:r>
      <w:r>
        <w:rPr>
          <w:b/>
          <w:i/>
        </w:rPr>
        <w:tab/>
        <w:t>To the extent not already covered by the questions in Section 1A paragraphs (a) to (c) above, would ECI (or any of its personnel) need to be licensed (i) to visit China to market Transactions to Local Counterparties and/or (ii) for ECI to buy or sell Bandwidth from or to Local Counterparties, under local law in China?</w:t>
      </w:r>
    </w:p>
    <w:p>
      <w:pPr>
        <w:pStyle w:val="Normal"/>
        <w:ind w:start="1276" w:end="0"/>
        <w:rPr/>
      </w:pPr>
      <w:r>
        <w:rPr/>
        <w:t>For the first limb of your question, we believe the answer is no.  Except as set out in Sections 1A(a) to (c) above, we are not aware of any other licence being required for ECI to send its personnel to China for temporary periods to market or otherwise promote the Transactions to Local Counterparties.  It should, however, be careful that such personnel do not spend extended periods in China or substantially negotiate (and definitely not conclude) the Transactions in China since it may as a result become liable to Enterprise Income Tax (and the personnel subject to Individual Income Tax).</w:t>
      </w:r>
    </w:p>
    <w:p>
      <w:pPr>
        <w:pStyle w:val="Normal"/>
        <w:ind w:start="1276" w:end="0"/>
        <w:rPr/>
      </w:pPr>
      <w:r>
        <w:rPr/>
        <w:t xml:space="preserve">For the second limb of your question, we believe the answer is yes.  As a general matter of Chinese law, foreign companies are not entitled to establish branches in China to engage in trade or otherwise.  Apart from establishing a new subsidiary or joint venture, its only remaining option would, broadly speaking, be to open representative offices to engage in limited promotional activities.  ECI can not buy or sell Bandwidth from or to Local Counterparties </w:t>
      </w:r>
      <w:r>
        <w:rPr>
          <w:i/>
        </w:rPr>
        <w:t>within</w:t>
      </w:r>
      <w:r>
        <w:rPr/>
        <w:t xml:space="preserve"> China without establishing a separate legal entity in China authorised to engage in such activities.  It would, however, by no means be a foregone conclusion that ECI would be entitled to establish such an entity (the restrictions on ECI establishing a legal entity in China to engage in the Transactions is considered in more detail in Section 1B(d)(iii) below).</w:t>
      </w:r>
    </w:p>
    <w:p>
      <w:pPr>
        <w:pStyle w:val="Normal"/>
        <w:keepNext w:val="true"/>
        <w:ind w:hanging="624" w:start="1247" w:end="0"/>
        <w:rPr/>
      </w:pPr>
      <w:r>
        <w:rPr/>
        <w:t>(d)(iii)</w:t>
      </w:r>
      <w:r>
        <w:rPr>
          <w:b/>
          <w:i/>
        </w:rPr>
        <w:tab/>
        <w:t>To the extent not already covered by the questions in Section 1A paragraphs (a) to (c) above, would Local Counterparty (or any of its personnel) need to be licensed in China to buy or sell Bandwidth from or to ECI and/or other counterparties?</w:t>
      </w:r>
    </w:p>
    <w:p>
      <w:pPr>
        <w:pStyle w:val="BodyText"/>
        <w:ind w:start="1276" w:end="0"/>
        <w:rPr/>
      </w:pPr>
      <w:r>
        <w:rPr/>
        <w:t xml:space="preserve">Except as provided in Sections A1(a) to (c) and Section 1B(a), we are not aware of any other licences which would be required by the Local Counterparty in order to buy and sell bandwidth from or to ECI and/or other Local Counterparties.  </w:t>
      </w:r>
    </w:p>
    <w:p>
      <w:pPr>
        <w:pStyle w:val="Normal"/>
        <w:ind w:hanging="624" w:start="1248" w:end="0"/>
        <w:rPr/>
      </w:pPr>
      <w:r>
        <w:rPr/>
        <w:t>(e)(i)</w:t>
        <w:tab/>
      </w:r>
      <w:r>
        <w:rPr>
          <w:b/>
          <w:i/>
        </w:rPr>
        <w:t>To the extent not already covered by the questions in Section 1A paragraphs (a) to (c) above, under local law in China, would ECI, or the Local Counterparty, be under any obligation to provide periodic reports or information to any regulatory or governmental or other body if they engaged in the Transactions, or a Local Counterparty?</w:t>
      </w:r>
    </w:p>
    <w:p>
      <w:pPr>
        <w:pStyle w:val="BodyText"/>
        <w:ind w:start="1276" w:end="0"/>
        <w:rPr/>
      </w:pPr>
      <w:r>
        <w:rPr/>
        <w:t>If ECI or the Local Counterparty is required to be licensed by MII as an entity engaged in telecommunications business in China, it will be subject to an annual inspection during which it will be required to provide relevant information on its business operations.</w:t>
      </w:r>
    </w:p>
    <w:p>
      <w:pPr>
        <w:pStyle w:val="BodyText"/>
        <w:ind w:start="1276" w:end="0"/>
        <w:rPr/>
      </w:pPr>
      <w:r>
        <w:rPr/>
        <w:t xml:space="preserve">See also Section 1G(a) in respect of the foreign exchange verification procedures for the Transactions.  </w:t>
      </w:r>
    </w:p>
    <w:p>
      <w:pPr>
        <w:pStyle w:val="Normal"/>
        <w:keepNext w:val="true"/>
        <w:ind w:hanging="624" w:start="1248" w:end="0"/>
        <w:rPr/>
      </w:pPr>
      <w:r>
        <w:rPr/>
        <w:t>(e)(ii)</w:t>
        <w:tab/>
      </w:r>
      <w:r>
        <w:rPr>
          <w:b/>
          <w:i/>
        </w:rPr>
        <w:t xml:space="preserve">To the extent not already covered by the questions in Section 1A paragraphs (a) to (c) above, would ECI or the Local Counterparty be subject to any form of governmental regulation in China in respect of Transactions between them and, if so, what?  </w:t>
      </w:r>
    </w:p>
    <w:p>
      <w:pPr>
        <w:pStyle w:val="BodyText"/>
        <w:ind w:start="1276" w:end="0"/>
        <w:rPr/>
      </w:pPr>
      <w:r>
        <w:rPr/>
        <w:t>See paragraph (f)(i) and (ii) below.</w:t>
      </w:r>
    </w:p>
    <w:p>
      <w:pPr>
        <w:pStyle w:val="Normal"/>
        <w:ind w:hanging="624" w:start="1248" w:end="0"/>
        <w:rPr/>
      </w:pPr>
      <w:r>
        <w:rPr/>
        <w:t>(f)(i)-ii)</w:t>
      </w:r>
      <w:r>
        <w:rPr>
          <w:b/>
          <w:i/>
        </w:rPr>
        <w:t xml:space="preserve"> Would the trading of Bandwidth by way of the Transactions be construed as a financial or securities market or exchange in China and, if so, why?  If it would be so construed, which market supervisory body, if any, in China would regulate the Bandwidth market and which rules would apply?</w:t>
      </w:r>
    </w:p>
    <w:p>
      <w:pPr>
        <w:pStyle w:val="Normal"/>
        <w:ind w:start="1276" w:end="0"/>
        <w:rPr/>
      </w:pPr>
      <w:r>
        <w:rPr/>
        <w:t xml:space="preserve">Assuming that under Chinese law it is legally permissible for the Local Counterparty to buy or sell bandwidth to/from ECI and the bandwidth is </w:t>
      </w:r>
      <w:r>
        <w:rPr>
          <w:i/>
        </w:rPr>
        <w:t>physically delivered</w:t>
      </w:r>
      <w:r>
        <w:rPr/>
        <w:t xml:space="preserve">, the Transactions should not be construed as a financial or securities market or exchange in China.  The situation is different if the Transactions are </w:t>
      </w:r>
      <w:r>
        <w:rPr>
          <w:i/>
        </w:rPr>
        <w:t>closed out</w:t>
      </w:r>
      <w:r>
        <w:rPr/>
        <w:t xml:space="preserve"> before physical delivery, which is discussed in greater detail in Section 2 below.</w:t>
      </w:r>
    </w:p>
    <w:p>
      <w:pPr>
        <w:pStyle w:val="Heading2"/>
        <w:keepNext w:val="true"/>
        <w:ind w:hanging="0" w:start="0"/>
        <w:rPr/>
      </w:pPr>
      <w:bookmarkStart w:id="19" w:name="__RefHeading___Toc470337125"/>
      <w:bookmarkEnd w:id="19"/>
      <w:r>
        <w:rPr/>
        <w:t xml:space="preserve">Section 1B: </w:t>
        <w:tab/>
        <w:t>Capacity and Authority</w:t>
      </w:r>
    </w:p>
    <w:p>
      <w:pPr>
        <w:pStyle w:val="Heading4"/>
        <w:ind w:hanging="0" w:start="0"/>
        <w:rPr/>
      </w:pPr>
      <w:r>
        <w:rPr>
          <w:b/>
          <w:i/>
        </w:rPr>
        <w:t>Under local law in China, do any entities as Local Counterparties, for example (but not limited to) municipalities or utilities, have any legal restrictions placed on their ability to enter into the Transactions?  If so, please briefly describe</w:t>
      </w:r>
      <w:r>
        <w:rPr/>
        <w:t>.</w:t>
      </w:r>
    </w:p>
    <w:p>
      <w:pPr>
        <w:pStyle w:val="BodyText2"/>
        <w:rPr/>
      </w:pPr>
      <w:r>
        <w:rPr/>
        <w:t>In order for a Local Counterparty to enter into legally binding business relations, it must be registered as an independent legal entity with its own organisation and operating funds and capacity to undertake civil liability.  Since the Transactions are commercial contracts with a foreign company, the Local Counterparty must have a general authorisation to engage in foreign trade.  Furthermore, the nature of the Transactions should be within (or incidental to) the authorised scope of business of the Local Counterparty.  Where a Local Counterparty signs a contract without having first obtained approval to engage in foreign trade, or where the nature of the Transactions is outside its authorised scope of business, the entity may be liable to financial and other penalties and, more importantly, the contract itself may be invalid.</w:t>
      </w:r>
      <w:r>
        <w:rPr>
          <w:rStyle w:val="FootnoteCharacters"/>
          <w:rStyle w:val="FootnoteReference"/>
        </w:rPr>
        <w:footnoteReference w:id="10"/>
      </w:r>
    </w:p>
    <w:p>
      <w:pPr>
        <w:pStyle w:val="BodyText2"/>
        <w:rPr/>
      </w:pPr>
      <w:r>
        <w:rPr/>
        <w:t>The business licence of the Local Counterparty (similar in concept to a certificate of incorporation under English law) would normally testify to its legal authority and scope of business capacity including whether it is able to enter into contracts in the nature of the Transactions.  It will also usually contain such other information as the registered capital of the enterprise, its legal representative (who is entitled under Chinese law to sign documents and carry out other acts on behalf of the entity) and general manager, the period of validity of the licence and its registered address.  It may also be necessary to check the Local Counterparty's articles of association, which will specify its objects and scope of business, the powers and authority of office bearers and other similar matters.  If the requisite authority is not evident from the business licence and articles of association, or in appropriate circumstances, it may be necessary to see evidence that the Local Counterparty has received special approval to enter into the Transactions.</w:t>
      </w:r>
    </w:p>
    <w:p>
      <w:pPr>
        <w:pStyle w:val="BodyText2"/>
        <w:rPr/>
      </w:pPr>
      <w:r>
        <w:rPr/>
        <w:t>Government departments will not normally have the requisite authority to sign legally binding contracts unless special approval and/or authorisation has been granted by legislation or by the central authorities.  Where necessary, some business units of government departments have been transformed into semi-independent operating companies with separate funding and business registration.  As such, they are entitled to conduct business with foreign companies (such as ECI) within their authorised business scope.</w:t>
      </w:r>
    </w:p>
    <w:p>
      <w:pPr>
        <w:pStyle w:val="Heading4"/>
        <w:ind w:hanging="0" w:start="0"/>
        <w:rPr/>
      </w:pPr>
      <w:r>
        <w:rPr>
          <w:b/>
          <w:i/>
        </w:rPr>
        <w:t>Is it necessary that the organisational documents of the Local Counterparty empower it to enter into the Transactions and/or the governing Master Agreement or GTCs?</w:t>
      </w:r>
    </w:p>
    <w:p>
      <w:pPr>
        <w:pStyle w:val="BodyText2"/>
        <w:rPr/>
      </w:pPr>
      <w:r>
        <w:rPr/>
        <w:t>The Transactions should be consistent with the objectives and scope of business of the Local Counterparty as set out in its business licence and articles of association (see above paragraph (a)).</w:t>
      </w:r>
      <w:r>
        <w:rPr>
          <w:b/>
          <w:i/>
        </w:rPr>
        <w:t xml:space="preserve"> </w:t>
      </w:r>
    </w:p>
    <w:p>
      <w:pPr>
        <w:pStyle w:val="Heading4"/>
        <w:ind w:hanging="0" w:start="0"/>
        <w:rPr/>
      </w:pPr>
      <w:r>
        <w:rPr>
          <w:b/>
          <w:i/>
        </w:rPr>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BodyText2"/>
        <w:rPr/>
      </w:pPr>
      <w:r>
        <w:rPr/>
        <w:t>In addition to reviewing the corporate documents described in Sections 1B(a) to (b) above, we would advise ECI to take the following action:</w:t>
      </w:r>
    </w:p>
    <w:p>
      <w:pPr>
        <w:pStyle w:val="ListAlpha1"/>
        <w:numPr>
          <w:ilvl w:val="0"/>
          <w:numId w:val="24"/>
        </w:numPr>
        <w:tabs>
          <w:tab w:val="clear" w:pos="720"/>
          <w:tab w:val="left" w:pos="1985" w:leader="none"/>
        </w:tabs>
        <w:ind w:hanging="567" w:start="1985" w:end="0"/>
        <w:rPr/>
      </w:pPr>
      <w:r>
        <w:rPr/>
        <w:t>Where it is unclear from the constitutive documents of the Local Counterparty that it is entitled to engage in the trading of bandwidth, obtain an approval issued by its "department in charge" (probably the MII and/or other relevant Ministries) for it to enter into the Transaction (or generally into these types of Transaction).</w:t>
      </w:r>
    </w:p>
    <w:p>
      <w:pPr>
        <w:pStyle w:val="ListAlpha1"/>
        <w:numPr>
          <w:ilvl w:val="0"/>
          <w:numId w:val="24"/>
        </w:numPr>
        <w:tabs>
          <w:tab w:val="clear" w:pos="720"/>
          <w:tab w:val="left" w:pos="1985" w:leader="none"/>
        </w:tabs>
        <w:ind w:hanging="567" w:start="1985" w:end="0"/>
        <w:rPr/>
      </w:pPr>
      <w:r>
        <w:rPr/>
        <w:t>Obtain a resolution of its board of directors (signed by all directors present) approving the particular Transaction (or generally these types of Transaction).</w:t>
      </w:r>
    </w:p>
    <w:p>
      <w:pPr>
        <w:pStyle w:val="ListAlpha1"/>
        <w:numPr>
          <w:ilvl w:val="0"/>
          <w:numId w:val="24"/>
        </w:numPr>
        <w:tabs>
          <w:tab w:val="clear" w:pos="720"/>
          <w:tab w:val="left" w:pos="1985" w:leader="none"/>
        </w:tabs>
        <w:ind w:hanging="567" w:start="1985" w:end="0"/>
        <w:rPr/>
      </w:pPr>
      <w:r>
        <w:rPr/>
        <w:t>Either (i) obtain a power of attorney signed by its legal representative (generally, the chairman of the board of directors) and bearing its official company seal authorising the entry into the Transactions by a named signatory on its behalf; or (second best) (ii) obtain a letter of authorisation signed by two senior officials (e.g. general manager, deputy general manager, financial controller, director of international operations) and bearing its official company seal authorising the entry into the Transactions by a named signatory on its behalf.</w:t>
      </w:r>
    </w:p>
    <w:p>
      <w:pPr>
        <w:pStyle w:val="ListAlpha1"/>
        <w:numPr>
          <w:ilvl w:val="0"/>
          <w:numId w:val="24"/>
        </w:numPr>
        <w:tabs>
          <w:tab w:val="clear" w:pos="720"/>
          <w:tab w:val="left" w:pos="1985" w:leader="none"/>
        </w:tabs>
        <w:ind w:hanging="567" w:start="1985" w:end="0"/>
        <w:rPr/>
      </w:pPr>
      <w:r>
        <w:rPr/>
        <w:t>Review the Certificate of Appointment of the Legal Representative indicating the name of the legal representative and bearing its official company seal or, as appropriate, evidence of appointment of, and powers and responsibilities of, the two senior officials referred to in the third bullet point above.</w:t>
      </w:r>
    </w:p>
    <w:p>
      <w:pPr>
        <w:pStyle w:val="BodyText2"/>
        <w:rPr/>
      </w:pPr>
      <w:r>
        <w:rPr/>
        <w:t>Preferably, ECI (or local counsel) should sight original versions (or copies certified current and true) of the documents listed above as part of the process of confirming the capacity and authority of the Local Counterparty to enter into the Transactions.  It is also often useful to check with local counsel as to whether they are aware of any particular circumstances concerning the Local Counterparty in question that may have a bearing on its capacity to enter into the particular Transaction.</w:t>
      </w:r>
    </w:p>
    <w:p>
      <w:pPr>
        <w:pStyle w:val="Heading4"/>
        <w:tabs>
          <w:tab w:val="clear" w:pos="720"/>
          <w:tab w:val="left" w:pos="993" w:leader="none"/>
        </w:tabs>
        <w:ind w:hanging="698" w:start="1418" w:end="0"/>
        <w:rPr/>
      </w:pPr>
      <w:r>
        <w:rPr/>
        <w:t>(i)</w:t>
        <w:tab/>
      </w:r>
      <w:r>
        <w:rPr>
          <w:b/>
          <w:i/>
        </w:rPr>
        <w:t xml:space="preserve">Pursuant to the requirements of local law in China, would ECI need to enter into the Transactions with Local Counterparties through an ECI-affiliated entity that is incorporated or otherwise organised in, or through a branch in China? </w:t>
      </w:r>
    </w:p>
    <w:p>
      <w:pPr>
        <w:pStyle w:val="BodyText3"/>
        <w:ind w:start="1418" w:end="0"/>
        <w:rPr/>
      </w:pPr>
      <w:r>
        <w:rPr/>
        <w:t>If the MII requires an entity to be licensed in China in order to enter into Transactions with Local Counterparties, such an entity would have to be incorporated in China (since only domestic operators are entitled to obtain a licence to engage in telecommunications business).   This requirement could, however, prevent ECI from effecting its Proposal since no foreign investment or participation is currently permitted in the operation of China's telecommunications services (see Section 1B(d)(iii) below).  So, if ECI's involvement in the Transactions (as Buyer/Seller) is regarded as engaging in telecommunications business in China, the activity will be effectively prohibited under Chinese law.</w:t>
      </w:r>
    </w:p>
    <w:p>
      <w:pPr>
        <w:pStyle w:val="BodyText2"/>
        <w:tabs>
          <w:tab w:val="clear" w:pos="720"/>
          <w:tab w:val="left" w:pos="993" w:leader="none"/>
        </w:tabs>
        <w:ind w:hanging="698" w:start="1418" w:end="0"/>
        <w:rPr>
          <w:b/>
          <w:i/>
          <w:i/>
        </w:rPr>
      </w:pPr>
      <w:r>
        <w:rPr/>
        <w:t>(d)(ii)</w:t>
        <w:tab/>
      </w:r>
      <w:r>
        <w:rPr>
          <w:b/>
          <w:i/>
        </w:rPr>
        <w:t>If it would be so required under local law in China, please specify what type of entity ECI would be required to establish in China</w:t>
      </w:r>
      <w:r>
        <w:rPr/>
        <w:t>.</w:t>
      </w:r>
    </w:p>
    <w:p>
      <w:pPr>
        <w:pStyle w:val="BodyText3"/>
        <w:ind w:start="1418" w:end="0"/>
        <w:rPr/>
      </w:pPr>
      <w:r>
        <w:rPr/>
        <w:t>Not applicable.</w:t>
      </w:r>
    </w:p>
    <w:p>
      <w:pPr>
        <w:pStyle w:val="BodyText2"/>
        <w:tabs>
          <w:tab w:val="clear" w:pos="720"/>
          <w:tab w:val="left" w:pos="993" w:leader="none"/>
        </w:tabs>
        <w:ind w:hanging="698" w:start="1418" w:end="0"/>
        <w:rPr/>
      </w:pPr>
      <w:r>
        <w:rPr/>
        <w:t>(d)(iii)</w:t>
        <w:tab/>
      </w:r>
      <w:r>
        <w:rPr>
          <w:b/>
          <w:i/>
        </w:rPr>
        <w:t>If ECI established such an entity in China to enter into the Transactions with Local Counterparties, would your answers to any of the questions set out in Section 1A of the Survey Questionnaire change in any respect and, if so, how?  Are there any limitations on foreign ownership of such an entity?</w:t>
      </w:r>
    </w:p>
    <w:p>
      <w:pPr>
        <w:pStyle w:val="BodyText3"/>
        <w:ind w:start="1418" w:end="0"/>
        <w:rPr/>
      </w:pPr>
      <w:r>
        <w:rPr/>
        <w:t>As a foreign company, ECI must obtain the approval of the Chinese authorities before it may establish an entity in China.  Generally speaking, it is not possible for a foreign company to establish a branch except in limited sectors (such as insurance and banking).  The most common form of investment is therefore a foreign invested enterprise, (i.e. a sino-foreign joint venture or a wholly foreign owned enterprise).</w:t>
      </w:r>
    </w:p>
    <w:p>
      <w:pPr>
        <w:pStyle w:val="BodyText3"/>
        <w:ind w:start="1418" w:end="0"/>
        <w:rPr/>
      </w:pPr>
      <w:r>
        <w:rPr/>
        <w:t>According to the Provisional Regulations on the Guidelines for Foreign Investment</w:t>
      </w:r>
      <w:r>
        <w:rPr>
          <w:i/>
        </w:rPr>
        <w:t xml:space="preserve"> </w:t>
      </w:r>
      <w:r>
        <w:rPr/>
        <w:t>issued by MOFTEC and effective from 20 June 1995, foreign investment in China is classified by economic sector into four general categories: encouraged, permitted, restricted and prohibited.  Encouraged, restricted and prohibited investment sectors are listed in a Catalogue List of Foreign Investment Industries</w:t>
      </w:r>
      <w:r>
        <w:rPr>
          <w:i/>
        </w:rPr>
        <w:t xml:space="preserve"> </w:t>
      </w:r>
      <w:r>
        <w:rPr/>
        <w:t>(the "</w:t>
      </w:r>
      <w:r>
        <w:rPr>
          <w:b/>
        </w:rPr>
        <w:t>Catalogue</w:t>
      </w:r>
      <w:r>
        <w:rPr/>
        <w:t>") which is regularly updated (the latest revision was made in 1998).  The approvals necessary in order to establish a foreign investment enterprise in any particular economic sector will depend in part on how the project is classified under the Catalogue.  Foreign investment is not allowed in those projects listed as "prohibited" in the Catalogue.  Thus, the ability of ECI to establish an entity in China to engage in the Transactions will depend on how its business is classified under the Catalogue and other relevant legislation.</w:t>
      </w:r>
    </w:p>
    <w:p>
      <w:pPr>
        <w:pStyle w:val="BodyText3"/>
        <w:ind w:start="1418" w:end="0"/>
        <w:rPr/>
      </w:pPr>
      <w:r>
        <w:rPr/>
        <w:t>Under current legislation, ECI would not be permitted to establish any entity to engage in the operation or control of telecommunications services in China.  This general prohibition has been documented in a number of regulations and notices.  It was expressed most openly in an opinion issued by the MPT in 1993 (the "</w:t>
      </w:r>
      <w:r>
        <w:rPr>
          <w:b/>
        </w:rPr>
        <w:t>Opinion</w:t>
      </w:r>
      <w:r>
        <w:rPr/>
        <w:t>").</w:t>
      </w:r>
      <w:r>
        <w:rPr>
          <w:rStyle w:val="FootnoteCharacters"/>
          <w:rStyle w:val="FootnoteReference"/>
        </w:rPr>
        <w:footnoteReference w:id="11"/>
      </w:r>
      <w:r>
        <w:rPr/>
        <w:t xml:space="preserve">  The Opinion provides that neither foreign companies nor foreign investment enterprises in China are permitted under any circumstances to "participate in the operation of wireline or wireless telecommunications or public telecommunications or special telecommunications networks, and ... shall not be permitted to absorb foreign capital in such business in any form or any manner".</w:t>
      </w:r>
    </w:p>
    <w:p>
      <w:pPr>
        <w:pStyle w:val="BodyText3"/>
        <w:ind w:start="1418" w:end="0"/>
        <w:rPr/>
      </w:pPr>
      <w:r>
        <w:rPr/>
        <w:t>The prohibition was further articulated in certain measures issued by the MPT during the same year (the "</w:t>
      </w:r>
      <w:r>
        <w:rPr>
          <w:b/>
        </w:rPr>
        <w:t>Interim Measures</w:t>
      </w:r>
      <w:r>
        <w:rPr/>
        <w:t>").</w:t>
      </w:r>
      <w:r>
        <w:rPr>
          <w:rStyle w:val="FootnoteCharacters"/>
          <w:rStyle w:val="FootnoteReference"/>
        </w:rPr>
        <w:footnoteReference w:id="12"/>
      </w:r>
      <w:r>
        <w:rPr/>
        <w:t xml:space="preserve">  The Interim Measures provide that foreign organisations and individuals, as well as foreign investment enterprises in China, "may not invest in, operate or participate in the operation of telecommunications businesses".</w:t>
      </w:r>
    </w:p>
    <w:p>
      <w:pPr>
        <w:pStyle w:val="BodyText3"/>
        <w:ind w:start="1418" w:end="0"/>
        <w:rPr/>
      </w:pPr>
      <w:r>
        <w:rPr/>
        <w:t>Perhaps most importantly, the present list of prohibited projects in the Catalogue includes projects involving "the operation and management of telecommunications services".</w:t>
      </w:r>
    </w:p>
    <w:p>
      <w:pPr>
        <w:pStyle w:val="BodyText3"/>
        <w:ind w:start="1418" w:end="0"/>
        <w:rPr/>
      </w:pPr>
      <w:r>
        <w:rPr/>
        <w:t>In ECI's case, it would therefore be prohibited from establishing a foreign investment enterprise in China to enter into the Transactions if the project was regarded as participation in the operation and management of telecommunications services.  To date, this prohibition has been interpreted widely, and in our view would be likely to apply to the Transactions if carried out by ECI in China.</w:t>
      </w:r>
    </w:p>
    <w:p>
      <w:pPr>
        <w:pStyle w:val="BodyText3"/>
        <w:ind w:start="1418" w:end="0"/>
        <w:rPr/>
      </w:pPr>
      <w:r>
        <w:rPr/>
        <w:t>ECI would also probably not be permitted to establish a trading company to engage solely in the sale and purchase of Bandwidth (without operating any telecommunication facilities).  Except for a number of limited exceptions (mainly in the retail sector), trading is a "prohibited" category of foreign investment.  (see also Section 2 on financial securities regulations).</w:t>
      </w:r>
    </w:p>
    <w:p>
      <w:pPr>
        <w:pStyle w:val="BodyText3"/>
        <w:ind w:start="1418" w:end="0"/>
        <w:rPr/>
      </w:pPr>
      <w:r>
        <w:rPr/>
        <w:t>In conclusion, we do not believe it is likely that ECI would be permitted to establish an entity in China to enter into the Transactions due to the current limitations on foreign ownership and/or operation in both the telecommunications and trade sectors.</w:t>
      </w:r>
    </w:p>
    <w:p>
      <w:pPr>
        <w:pStyle w:val="Heading2"/>
        <w:keepNext w:val="true"/>
        <w:ind w:hanging="0" w:start="0"/>
        <w:rPr/>
      </w:pPr>
      <w:bookmarkStart w:id="20" w:name="__RefHeading___Toc470337126"/>
      <w:bookmarkEnd w:id="20"/>
      <w:r>
        <w:rPr/>
        <w:t xml:space="preserve">Section 1C:  </w:t>
        <w:tab/>
        <w:t>General Contractual Terms and Formalities</w:t>
      </w:r>
    </w:p>
    <w:p>
      <w:pPr>
        <w:pStyle w:val="Heading4"/>
        <w:keepNext w:val="true"/>
        <w:numPr>
          <w:ilvl w:val="0"/>
          <w:numId w:val="0"/>
        </w:numPr>
        <w:ind w:hanging="0" w:start="720" w:end="0"/>
        <w:rPr/>
      </w:pPr>
      <w:r>
        <w:rPr/>
        <w:t>By way of preliminary comment, we note that the Master Agreement and GTCs are governed by New York law and disputes are to be referred to arbitration under the American Arbitration Association Commercial Arbitration Rules.  As a result, we think it is unlikely that Chinese law would be likely to affect any adjudication outside China of the contractual rights of ECI and the Local Counterparty under the Master Agreement or GTCs (see Section 1D for further discussion of the limited exceptions to this principle).</w:t>
      </w:r>
    </w:p>
    <w:p>
      <w:pPr>
        <w:pStyle w:val="BodyText"/>
        <w:ind w:hanging="720" w:start="1440" w:end="0"/>
        <w:rPr/>
      </w:pPr>
      <w:r>
        <w:rPr/>
        <w:t>(a)(i)</w:t>
        <w:tab/>
      </w:r>
      <w:r>
        <w:rPr>
          <w:b/>
          <w:i/>
        </w:rPr>
        <w:t>Does local law in China contemplate some form of an economic re-opener?  If so, please briefly describe</w:t>
      </w:r>
      <w:r>
        <w:rPr/>
        <w:t>.</w:t>
      </w:r>
    </w:p>
    <w:p>
      <w:pPr>
        <w:pStyle w:val="BodyText2"/>
        <w:rPr/>
      </w:pPr>
      <w:r>
        <w:rPr/>
        <w:t>We are not aware of any law or regulation which would oblige the parties to negotiate in good faith to amend the terms of a contract in the event that economic circumstances have substantially changed since the contract became binding.  To our knowledge, however, there is nothing to prevent the parties to a contract incorporating a provision of this nature as an express term of the contract.</w:t>
      </w:r>
    </w:p>
    <w:p>
      <w:pPr>
        <w:pStyle w:val="BodyText2"/>
        <w:rPr/>
      </w:pPr>
      <w:r>
        <w:rPr/>
        <w:t>The principle of force majeure exists under the PRC, Contract Law</w:t>
      </w:r>
      <w:r>
        <w:rPr>
          <w:rStyle w:val="FootnoteCharacters"/>
          <w:rStyle w:val="FootnoteReference"/>
        </w:rPr>
        <w:footnoteReference w:id="13"/>
      </w:r>
      <w:r>
        <w:rPr/>
        <w:t xml:space="preserve"> and is similar in concept to force majeure as it is understood in Western jurisdictions.  To our understanding, the fact that one party is subsequently placed in an economic position which is significantly more unfavourable than it initially bargained for, would not in itself constitute an event of force majeure.</w:t>
      </w:r>
    </w:p>
    <w:p>
      <w:pPr>
        <w:pStyle w:val="BodyText2"/>
        <w:rPr/>
      </w:pPr>
      <w:r>
        <w:rPr/>
        <w:t xml:space="preserve">Although we are not aware of any statutory provision under Chinese law on the principle of "economic re-opener", we should draw your attention to Article 68 of the PRC Contract Law which provides that a party may suspend performance of its duties in certain circumstances if it has conclusive evidence that the other contracting party has suffered a serious deterioration in its business conditions or has lost its ability to service its debts.  The fairly broad language of this Article could arguably be used as a basis for a party to the Transactions to cease performing its obligations where the other party's general economic circumstances (and not just the position under that particular Transaction) have changed significantly for the worse. </w:t>
      </w:r>
    </w:p>
    <w:p>
      <w:pPr>
        <w:pStyle w:val="BodyText"/>
        <w:ind w:hanging="720" w:start="1440" w:end="0"/>
        <w:rPr/>
      </w:pPr>
      <w:r>
        <w:rPr/>
        <w:t>(a)(ii)</w:t>
        <w:tab/>
      </w:r>
      <w:r>
        <w:rPr>
          <w:b/>
          <w:i/>
        </w:rPr>
        <w:t>Bearing in mind that substantially all of ECI's in-house lawyers are qualified in U</w:t>
      </w:r>
      <w:r>
        <w:rPr/>
        <w:t>.</w:t>
      </w:r>
      <w:r>
        <w:rPr>
          <w:b/>
          <w:i/>
        </w:rPr>
        <w:t>S</w:t>
      </w:r>
      <w:r>
        <w:rPr/>
        <w:t>.</w:t>
      </w:r>
      <w:r>
        <w:rPr>
          <w:b/>
          <w:i/>
        </w:rPr>
        <w:t xml:space="preserve"> or English law, are you aware of any other provisions of local law in China that, in your experience, are ones which would not be anticipated by a U</w:t>
      </w:r>
      <w:r>
        <w:rPr/>
        <w:t>.</w:t>
      </w:r>
      <w:r>
        <w:rPr>
          <w:b/>
          <w:i/>
        </w:rPr>
        <w:t>S</w:t>
      </w:r>
      <w:r>
        <w:rPr/>
        <w:t>.</w:t>
      </w:r>
      <w:r>
        <w:rPr>
          <w:b/>
          <w:i/>
        </w:rPr>
        <w:t xml:space="preserve"> or English lawyer and which may be relevant to the Transactions with Local Counterparties in China?</w:t>
      </w:r>
    </w:p>
    <w:p>
      <w:pPr>
        <w:pStyle w:val="BodyText2"/>
        <w:rPr/>
      </w:pPr>
      <w:r>
        <w:rPr/>
        <w:t>We are not aware of any specific provisions relating to the Transactions that should be drawn to your attention other than those already described in this Report.  However, an important general concept under Chinese law (as repeated in the PRC, Contract Law</w:t>
      </w:r>
      <w:r>
        <w:rPr>
          <w:rStyle w:val="FootnoteCharacters"/>
          <w:rStyle w:val="FootnoteReference"/>
        </w:rPr>
        <w:footnoteReference w:id="14"/>
      </w:r>
      <w:r>
        <w:rPr/>
        <w:t>) is the principle of "fairness" in determining the rights and obligations of parties to a contract which may, very broadly speaking, be taken as analogous to the concept of equity under English law.</w:t>
      </w:r>
    </w:p>
    <w:p>
      <w:pPr>
        <w:pStyle w:val="Heading4"/>
        <w:numPr>
          <w:ilvl w:val="0"/>
          <w:numId w:val="0"/>
        </w:numPr>
        <w:ind w:hanging="698" w:start="1418" w:end="0"/>
        <w:rPr/>
      </w:pPr>
      <w:r>
        <w:rPr/>
        <w:t>(b)(i)</w:t>
        <w:tab/>
      </w:r>
      <w:r>
        <w:rPr>
          <w:b/>
          <w:i/>
        </w:rPr>
        <w:t>Is it a correct statement of local law in China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owning, for example, to failure of the of the Local Counterparty to countersign it)?  If not, please explain</w:t>
      </w:r>
      <w:r>
        <w:rPr/>
        <w:t>.</w:t>
      </w:r>
    </w:p>
    <w:p>
      <w:pPr>
        <w:pStyle w:val="BodyText3"/>
        <w:ind w:start="1418" w:end="0"/>
        <w:rPr/>
      </w:pPr>
      <w:r>
        <w:rPr/>
        <w:t>A contract may be concluded in written, oral or other forms (e.g. by performance, etc.) unless the law has provided or the parties have agreed otherwise.</w:t>
      </w:r>
      <w:r>
        <w:rPr>
          <w:rStyle w:val="FootnoteCharacters"/>
          <w:rStyle w:val="FootnoteReference"/>
        </w:rPr>
        <w:footnoteReference w:id="15"/>
      </w:r>
      <w:r>
        <w:rPr/>
        <w:t xml:space="preserve">  "Written form" includes, amongst other things, "</w:t>
      </w:r>
      <w:r>
        <w:rPr>
          <w:i/>
        </w:rPr>
        <w:t>electronic mails"</w:t>
      </w:r>
      <w:r>
        <w:rPr/>
        <w:t xml:space="preserve"> and "</w:t>
      </w:r>
      <w:r>
        <w:rPr>
          <w:i/>
        </w:rPr>
        <w:t>electronic data interchange"</w:t>
      </w:r>
      <w:r>
        <w:rPr/>
        <w:t>.</w:t>
      </w:r>
      <w:r>
        <w:rPr>
          <w:rStyle w:val="FootnoteCharacters"/>
          <w:rStyle w:val="FootnoteReference"/>
        </w:rPr>
        <w:footnoteReference w:id="16"/>
      </w:r>
      <w:r>
        <w:rPr/>
        <w:t xml:space="preserve">  Therefore, it is possible for ECI and the Local Counterparty to enter into a legally binding contract in a telephone conversation or by exchange of electronic messages under Chinese law.</w:t>
      </w:r>
    </w:p>
    <w:p>
      <w:pPr>
        <w:pStyle w:val="BodyText3"/>
        <w:ind w:start="1418" w:end="0"/>
        <w:rPr/>
      </w:pPr>
      <w:r>
        <w:rPr/>
        <w:t xml:space="preserve">However, to establish a legally binding contract there must be an offer and a corresponding acceptance. Where a contract is concluded by electronic mail, the relevant offer and acceptance are deemed to be made when they enter into the systems of the relevant parties, respectively. A legally binding contract may also be concluded by telephone exchange, although the acceptance must be made within the time period specified in the offer. Where such time period is not specified in the offer, it must be made promptly during the telephone conversation. </w:t>
      </w:r>
    </w:p>
    <w:p>
      <w:pPr>
        <w:pStyle w:val="BodyText2"/>
        <w:tabs>
          <w:tab w:val="clear" w:pos="720"/>
          <w:tab w:val="left" w:pos="993" w:leader="none"/>
        </w:tabs>
        <w:ind w:hanging="709" w:start="1418" w:end="0"/>
        <w:rPr/>
      </w:pPr>
      <w:r>
        <w:rPr/>
        <w:t>(b)(ii)</w:t>
        <w:tab/>
      </w:r>
      <w:r>
        <w:rPr>
          <w:b/>
          <w:i/>
        </w:rPr>
        <w:t>In respect of Transactions entered into by way of exchange of electronic messages, do any special laws or regulations exist in China which would prevent or in any way impact upon marketing or trading of any of the Transactions through the Internet?</w:t>
      </w:r>
    </w:p>
    <w:p>
      <w:pPr>
        <w:pStyle w:val="BodyText3"/>
        <w:ind w:start="1418" w:end="0"/>
        <w:rPr/>
      </w:pPr>
      <w:r>
        <w:rPr/>
        <w:t>There are no special trading laws or marketing laws for electronic transactions in China.  Nevertheless, it is worth noting the following:</w:t>
      </w:r>
    </w:p>
    <w:p>
      <w:pPr>
        <w:pStyle w:val="BodyText4"/>
        <w:numPr>
          <w:ilvl w:val="0"/>
          <w:numId w:val="10"/>
        </w:numPr>
        <w:tabs>
          <w:tab w:val="clear" w:pos="720"/>
        </w:tabs>
        <w:ind w:hanging="425" w:start="1843" w:end="0"/>
        <w:rPr>
          <w:i/>
          <w:i/>
        </w:rPr>
      </w:pPr>
      <w:r>
        <w:rPr>
          <w:b/>
        </w:rPr>
        <w:t>Application of existing contract laws</w:t>
      </w:r>
      <w:r>
        <w:rPr/>
        <w:t>.</w:t>
      </w:r>
      <w:r>
        <w:rPr>
          <w:b/>
        </w:rPr>
        <w:t xml:space="preserve">  </w:t>
      </w:r>
      <w:r>
        <w:rPr/>
        <w:t xml:space="preserve">Apart from the general areas of "risk" identified in the UK Report for electronic transactions (which are also applicable to China) we note that steps would also need to be taken to ensure the Local Counterparty had capacity to enter into the Transactions (otherwise the contract would be unenforceable) and the documentation in respect of the Transactions was sufficient to satisfy the foreign exchange settlement/conversion verification procedures for the receipt or remittance of foreign exchange by the Local Counterparty (Section 1G).  It is worth noting that many domestic enterprises in China do not have foreign trade rights (i.e. the capacity to independently enter into enforceable contracts with foreign companies) and would therefore normally appoint a government authorised national foreign trade corporation to act as its agent in cross border contracts.  This clearly presents an additional obstacle to conducting e-commerce in China.  A separate point to note is in respect of the enforceability of an agreement to resolve disputes by arbitration if the contract is concluded in electronic form or orally (given the requirement under the PRC, Arbitration Law that arbitration agreements be in written form).  </w:t>
      </w:r>
    </w:p>
    <w:p>
      <w:pPr>
        <w:pStyle w:val="bullet"/>
        <w:numPr>
          <w:ilvl w:val="0"/>
          <w:numId w:val="17"/>
        </w:numPr>
        <w:tabs>
          <w:tab w:val="clear" w:pos="720"/>
        </w:tabs>
        <w:ind w:hanging="425" w:start="1843" w:end="0"/>
        <w:rPr/>
      </w:pPr>
      <w:r>
        <w:rPr>
          <w:b/>
        </w:rPr>
        <w:t>Application of marketing laws</w:t>
      </w:r>
      <w:r>
        <w:rPr/>
        <w:t>:</w:t>
      </w:r>
      <w:r>
        <w:rPr>
          <w:b/>
        </w:rPr>
        <w:t xml:space="preserve"> </w:t>
      </w:r>
      <w:r>
        <w:rPr/>
        <w:t>The majority of rules and regulations on marketing in China are contained in advertising regulations set out below:</w:t>
      </w:r>
    </w:p>
    <w:p>
      <w:pPr>
        <w:pStyle w:val="squarebullet"/>
        <w:numPr>
          <w:ilvl w:val="0"/>
          <w:numId w:val="13"/>
        </w:numPr>
        <w:tabs>
          <w:tab w:val="clear" w:pos="720"/>
          <w:tab w:val="left" w:pos="2203" w:leader="none"/>
        </w:tabs>
        <w:ind w:hanging="360" w:start="2203" w:end="0"/>
        <w:rPr/>
      </w:pPr>
      <w:r>
        <w:rPr/>
        <w:t>PRC Advertising Law promulgated by the National People's Congress effective from 1 February 1995;</w:t>
      </w:r>
    </w:p>
    <w:p>
      <w:pPr>
        <w:pStyle w:val="squarebullet"/>
        <w:numPr>
          <w:ilvl w:val="0"/>
          <w:numId w:val="13"/>
        </w:numPr>
        <w:tabs>
          <w:tab w:val="clear" w:pos="720"/>
          <w:tab w:val="left" w:pos="2203" w:leader="none"/>
        </w:tabs>
        <w:ind w:hanging="360" w:start="2203" w:end="0"/>
        <w:rPr/>
      </w:pPr>
      <w:r>
        <w:rPr/>
        <w:t xml:space="preserve">Administrative Regulations on Advertisements issued by the State Council and effective on 1 December 1987; and </w:t>
      </w:r>
    </w:p>
    <w:p>
      <w:pPr>
        <w:pStyle w:val="squarebullet"/>
        <w:numPr>
          <w:ilvl w:val="0"/>
          <w:numId w:val="13"/>
        </w:numPr>
        <w:tabs>
          <w:tab w:val="clear" w:pos="720"/>
          <w:tab w:val="left" w:pos="2203" w:leader="none"/>
        </w:tabs>
        <w:ind w:hanging="360" w:start="2203" w:end="0"/>
        <w:rPr/>
      </w:pPr>
      <w:r>
        <w:rPr/>
        <w:t>Implementing Rules for the Administrative Regulations on Advertisements issued by the State Administration of Industry and Commerce and effective on 9 January 1988.</w:t>
      </w:r>
    </w:p>
    <w:p>
      <w:pPr>
        <w:pStyle w:val="BodyText4"/>
        <w:ind w:start="1843" w:end="0"/>
        <w:rPr/>
      </w:pPr>
      <w:r>
        <w:rPr/>
        <w:t xml:space="preserve">These laws and regulations apply to promotional activities irrespective of whether such activities are undertaken electronically or by more traditional means.  Some of the important provisions in such laws and regulations which may impact or affect the marketing over the Internet include: </w:t>
      </w:r>
    </w:p>
    <w:p>
      <w:pPr>
        <w:pStyle w:val="squarebullet"/>
        <w:numPr>
          <w:ilvl w:val="0"/>
          <w:numId w:val="13"/>
        </w:numPr>
        <w:tabs>
          <w:tab w:val="clear" w:pos="720"/>
          <w:tab w:val="left" w:pos="2203" w:leader="none"/>
        </w:tabs>
        <w:ind w:hanging="360" w:start="2203" w:end="0"/>
        <w:rPr/>
      </w:pPr>
      <w:r>
        <w:rPr/>
        <w:t>Advertisements must be legal, truthful, decent and comply with the principle of fairness, good faith and creditworthiness.</w:t>
      </w:r>
    </w:p>
    <w:p>
      <w:pPr>
        <w:pStyle w:val="squarebullet"/>
        <w:numPr>
          <w:ilvl w:val="0"/>
          <w:numId w:val="13"/>
        </w:numPr>
        <w:tabs>
          <w:tab w:val="clear" w:pos="720"/>
          <w:tab w:val="left" w:pos="2203" w:leader="none"/>
        </w:tabs>
        <w:ind w:hanging="360" w:start="2203" w:end="0"/>
        <w:rPr/>
      </w:pPr>
      <w:r>
        <w:rPr/>
        <w:t xml:space="preserve">Foreign entities or individuals who wish to publish advertisements in China must appoint an advertising agent authorised to deal with such advertisements. </w:t>
      </w:r>
    </w:p>
    <w:p>
      <w:pPr>
        <w:pStyle w:val="squarebullet"/>
        <w:numPr>
          <w:ilvl w:val="0"/>
          <w:numId w:val="13"/>
        </w:numPr>
        <w:tabs>
          <w:tab w:val="clear" w:pos="720"/>
          <w:tab w:val="left" w:pos="2203" w:leader="none"/>
        </w:tabs>
        <w:ind w:hanging="360" w:start="2203" w:end="0"/>
        <w:rPr/>
      </w:pPr>
      <w:r>
        <w:rPr/>
        <w:t>Advertisement must be pre-examined by the relevant examination authority or adverting agents.</w:t>
      </w:r>
    </w:p>
    <w:p>
      <w:pPr>
        <w:pStyle w:val="squarebullet"/>
        <w:numPr>
          <w:ilvl w:val="0"/>
          <w:numId w:val="13"/>
        </w:numPr>
        <w:tabs>
          <w:tab w:val="clear" w:pos="720"/>
          <w:tab w:val="left" w:pos="2203" w:leader="none"/>
        </w:tabs>
        <w:ind w:hanging="360" w:start="2203" w:end="0"/>
        <w:rPr/>
      </w:pPr>
      <w:r>
        <w:rPr/>
        <w:t xml:space="preserve">The content of an advertisement must be within the business scope of the relevant entity or within the areas permitted by the State. </w:t>
      </w:r>
    </w:p>
    <w:p>
      <w:pPr>
        <w:pStyle w:val="Normal"/>
        <w:ind w:start="1843" w:end="0"/>
        <w:rPr/>
      </w:pPr>
      <w:r>
        <w:rPr/>
        <w:t>Therefore, if the Transactions are not permitted under Chinese law, any advertisement in respect of such Transactions will be prohibited in China.  Any breach of the above regulations could lead to administrative penalties ranging from the issuance of a warning to the imposition of a fine.</w:t>
      </w:r>
    </w:p>
    <w:p>
      <w:pPr>
        <w:pStyle w:val="bullet"/>
        <w:numPr>
          <w:ilvl w:val="0"/>
          <w:numId w:val="17"/>
        </w:numPr>
        <w:tabs>
          <w:tab w:val="clear" w:pos="720"/>
        </w:tabs>
        <w:ind w:hanging="426" w:start="2269" w:end="0"/>
        <w:rPr/>
      </w:pPr>
      <w:r>
        <w:rPr>
          <w:rFonts w:eastAsia="CG Times"/>
          <w:b/>
        </w:rPr>
        <w:t xml:space="preserve"> </w:t>
      </w:r>
      <w:r>
        <w:rPr>
          <w:b/>
        </w:rPr>
        <w:t>Electronic commerce</w:t>
      </w:r>
      <w:r>
        <w:rPr/>
        <w:t xml:space="preserve">.  As a separate point, we should note that e-commence is in it infancy in China.  There is no national legislation that specifically addresses the topic (other than by general provisions such as in the PRC, Contract Law).  To date, most foreign companies have therefore limited their use of the Internet to advertising products rather than concluding contracts electronically. </w:t>
      </w:r>
    </w:p>
    <w:p>
      <w:pPr>
        <w:pStyle w:val="BodyText2"/>
        <w:tabs>
          <w:tab w:val="clear" w:pos="720"/>
          <w:tab w:val="left" w:pos="993" w:leader="none"/>
        </w:tabs>
        <w:ind w:hanging="709" w:start="1418" w:end="0"/>
        <w:rPr>
          <w:b/>
          <w:i/>
          <w:i/>
        </w:rPr>
      </w:pPr>
      <w:r>
        <w:rPr/>
        <w:t>(b)(iii)</w:t>
        <w:tab/>
      </w:r>
      <w:r>
        <w:rPr>
          <w:b/>
          <w:i/>
        </w:rPr>
        <w:t>If the answer to Section 1(C)(b)(ii) is "yes", please indicate whether the impact of any relevant laws or regulations will differ depending upon whether (i) the relevant Internet site is maintained in China or elsewhere; or (ii) the party effecting the marketing/trading through the Internet is locally licensed or benefits from any form of exemption to carry out the relevant business</w:t>
      </w:r>
      <w:r>
        <w:rPr/>
        <w:t>.</w:t>
      </w:r>
    </w:p>
    <w:p>
      <w:pPr>
        <w:pStyle w:val="BodyText3"/>
        <w:ind w:start="1418" w:end="0"/>
        <w:rPr/>
      </w:pPr>
      <w:r>
        <w:rPr/>
        <w:t>The trading and marketing laws described in Section 1C(b)(ii) above will apply to the entity effecting the marketing or trading through the Internet in China regardless of whether the person operating or maintaining the website is based in China.</w:t>
      </w:r>
    </w:p>
    <w:p>
      <w:pPr>
        <w:pStyle w:val="BodyText2"/>
        <w:tabs>
          <w:tab w:val="clear" w:pos="720"/>
          <w:tab w:val="left" w:pos="993" w:leader="none"/>
        </w:tabs>
        <w:ind w:hanging="709" w:start="1418" w:end="0"/>
        <w:rPr>
          <w:b/>
          <w:i/>
          <w:i/>
        </w:rPr>
      </w:pPr>
      <w:r>
        <w:rPr/>
        <w:t>(b)(iv)</w:t>
        <w:tab/>
      </w:r>
      <w:r>
        <w:rPr>
          <w:b/>
          <w:i/>
        </w:rPr>
        <w:t>Please confirm that by marketing to or trading with Local Counterparties via Internet, local relevant regulatory bodies/local laws or regulations will not consider the party maintaining the relevant website to have established a physical establishment/branch in your jurisdiction</w:t>
      </w:r>
      <w:r>
        <w:rPr/>
        <w:t>.</w:t>
      </w:r>
    </w:p>
    <w:p>
      <w:pPr>
        <w:pStyle w:val="BodyText3"/>
        <w:ind w:start="1418" w:end="0"/>
        <w:rPr/>
      </w:pPr>
      <w:r>
        <w:rPr/>
        <w:t xml:space="preserve">Chinese legislation does not address the issue of taxation for Internet commerce.  However, according to a discussion document issued by the OECD Working Party on Tax Convention, a website which may be seen as a combination of software and electronic data cannot itself constitute a "fixed place of business" for tax purposes.  Based on this discussion document, we believe it is unlikely that a party maintaining a website over which the Transactions are marketed or traded would by that fact alone be considered to have established a physical establishment/branch in China.  </w:t>
      </w:r>
    </w:p>
    <w:p>
      <w:pPr>
        <w:pStyle w:val="BodyText"/>
        <w:ind w:hanging="698" w:start="1418" w:end="0"/>
        <w:rPr/>
      </w:pPr>
      <w:r>
        <w:rPr/>
        <w:t>(c)</w:t>
        <w:tab/>
      </w:r>
      <w:r>
        <w:rPr>
          <w:b/>
          <w:i/>
        </w:rPr>
        <w:t>ECI's practice is to record the telephone lines of its traders.  Does that give rise to any issues under local law in China?</w:t>
      </w:r>
    </w:p>
    <w:p>
      <w:pPr>
        <w:pStyle w:val="Normal"/>
        <w:ind w:start="1418" w:end="0"/>
        <w:rPr/>
      </w:pPr>
      <w:r>
        <w:rPr/>
        <w:t>The recording of telephone lines in China gives rise to a number of legal issues:</w:t>
      </w:r>
    </w:p>
    <w:p>
      <w:pPr>
        <w:pStyle w:val="BodyText2"/>
        <w:numPr>
          <w:ilvl w:val="0"/>
          <w:numId w:val="21"/>
        </w:numPr>
        <w:tabs>
          <w:tab w:val="clear" w:pos="720"/>
          <w:tab w:val="left" w:pos="1843" w:leader="none"/>
        </w:tabs>
        <w:ind w:hanging="425" w:start="1843" w:end="0"/>
        <w:rPr/>
      </w:pPr>
      <w:r>
        <w:rPr>
          <w:b/>
        </w:rPr>
        <w:t>Right of privacy</w:t>
      </w:r>
      <w:r>
        <w:rPr/>
        <w:t>.</w:t>
      </w:r>
      <w:r>
        <w:rPr>
          <w:b/>
        </w:rPr>
        <w:t xml:space="preserve">  </w:t>
      </w:r>
      <w:r>
        <w:rPr/>
        <w:t>ECI may be in violation of the general rights to privacy accorded to a Chinese citizen if it records a telephone conversation without that person's consent.</w:t>
      </w:r>
    </w:p>
    <w:p>
      <w:pPr>
        <w:pStyle w:val="Normal"/>
        <w:ind w:start="1843" w:end="0"/>
        <w:rPr/>
      </w:pPr>
      <w:r>
        <w:rPr/>
        <w:t>There is no specific legislation governing an individual's right of privacy.  However, the Chinese Constitution</w:t>
      </w:r>
      <w:r>
        <w:rPr>
          <w:rStyle w:val="FootnoteCharacters"/>
          <w:rStyle w:val="FootnoteReference"/>
        </w:rPr>
        <w:footnoteReference w:id="17"/>
      </w:r>
      <w:r>
        <w:rPr>
          <w:i/>
        </w:rPr>
        <w:t xml:space="preserve"> </w:t>
      </w:r>
      <w:r>
        <w:rPr/>
        <w:t xml:space="preserve">provides that a Chinese citizen's freedom and secrecy of correspondence is protected by law.  No organisation may, on any grounds, infringe upon this freedom except in the cases of public security or organs of the procuracy for the needs of state security or investigation into criminal offences.  </w:t>
      </w:r>
    </w:p>
    <w:p>
      <w:pPr>
        <w:pStyle w:val="Normal"/>
        <w:keepNext w:val="true"/>
        <w:numPr>
          <w:ilvl w:val="0"/>
          <w:numId w:val="9"/>
        </w:numPr>
        <w:tabs>
          <w:tab w:val="clear" w:pos="720"/>
          <w:tab w:val="left" w:pos="1843" w:leader="none"/>
        </w:tabs>
        <w:ind w:hanging="425" w:start="1843" w:end="0"/>
        <w:rPr/>
      </w:pPr>
      <w:r>
        <w:rPr>
          <w:b/>
        </w:rPr>
        <w:t>Confidentiality</w:t>
      </w:r>
      <w:r>
        <w:rPr/>
        <w:t>.</w:t>
      </w:r>
      <w:r>
        <w:rPr>
          <w:b/>
        </w:rPr>
        <w:t xml:space="preserve">  </w:t>
      </w:r>
      <w:r>
        <w:rPr/>
        <w:t>Where information is given to ECI in confidence during a telephone conversation and is subsequently disclosed to a third party without the authority of the person providing the information, ECI may be in breach of its duty of confidence.</w:t>
      </w:r>
    </w:p>
    <w:p>
      <w:pPr>
        <w:pStyle w:val="Normal"/>
        <w:ind w:start="1843" w:end="0"/>
        <w:rPr/>
      </w:pPr>
      <w:r>
        <w:rPr/>
        <w:t xml:space="preserve">A duty of confidentiality may exist in a number of circumstances.  For example, under the </w:t>
      </w:r>
      <w:r>
        <w:rPr>
          <w:i/>
        </w:rPr>
        <w:t>Unfair Competition Law,</w:t>
      </w:r>
      <w:r>
        <w:rPr>
          <w:rStyle w:val="FootnoteCharacters"/>
          <w:rStyle w:val="FootnoteReference"/>
          <w:i/>
        </w:rPr>
        <w:footnoteReference w:id="18"/>
      </w:r>
      <w:r>
        <w:rPr/>
        <w:t xml:space="preserve"> a business operator in possession of another person's business secrets may not, in breach of an agreement or against the request of the owner, disclose, use or permit the use by others of such business secrets.  In addition, commercial secrets obtained during the course of concluding a contract may not be disclosed or improperly used.</w:t>
      </w:r>
      <w:r>
        <w:rPr>
          <w:rStyle w:val="FootnoteCharacters"/>
          <w:rStyle w:val="FootnoteReference"/>
        </w:rPr>
        <w:footnoteReference w:id="19"/>
      </w:r>
      <w:r>
        <w:rPr/>
        <w:t xml:space="preserve"> </w:t>
      </w:r>
    </w:p>
    <w:p>
      <w:pPr>
        <w:pStyle w:val="Normal"/>
        <w:keepNext w:val="true"/>
        <w:numPr>
          <w:ilvl w:val="0"/>
          <w:numId w:val="9"/>
        </w:numPr>
        <w:tabs>
          <w:tab w:val="clear" w:pos="720"/>
          <w:tab w:val="left" w:pos="1843" w:leader="none"/>
        </w:tabs>
        <w:ind w:hanging="425" w:start="1843" w:end="0"/>
        <w:rPr/>
      </w:pPr>
      <w:r>
        <w:rPr>
          <w:b/>
        </w:rPr>
        <w:t>Admissibility</w:t>
      </w:r>
      <w:r>
        <w:rPr/>
        <w:t>.</w:t>
      </w:r>
      <w:r>
        <w:rPr>
          <w:b/>
        </w:rPr>
        <w:t xml:space="preserve"> </w:t>
      </w:r>
      <w:r>
        <w:rPr/>
        <w:t xml:space="preserve">Unless ECI obtains the prior consent of the other party to the telephone call before the call is recorded, then it may subsequently be prevented from admitting the recorded material as evidence in any future legal action.  </w:t>
      </w:r>
    </w:p>
    <w:p>
      <w:pPr>
        <w:pStyle w:val="Normal"/>
        <w:ind w:start="1843" w:end="0"/>
        <w:rPr/>
      </w:pPr>
      <w:r>
        <w:rPr/>
        <w:t>According to a Supreme People's Court Notice issued in 1995,</w:t>
      </w:r>
      <w:r>
        <w:rPr>
          <w:rStyle w:val="FootnoteCharacters"/>
          <w:rStyle w:val="FootnoteReference"/>
        </w:rPr>
        <w:footnoteReference w:id="20"/>
      </w:r>
      <w:r>
        <w:rPr/>
        <w:t xml:space="preserve"> a private recording of a conversation with another party is illegal unless the prior consent of that party has been obtained and the recorded material is inadmissible as evidence.  </w:t>
      </w:r>
    </w:p>
    <w:p>
      <w:pPr>
        <w:pStyle w:val="Normal"/>
        <w:ind w:start="1843" w:end="0"/>
        <w:rPr/>
      </w:pPr>
      <w:r>
        <w:rPr/>
        <w:t>The tape recording of ECI and the Local Counterparty may also be insufficient evidence in itself that a Transaction has been concluded.  Our view is based upon an Opinion of the Supreme People's Court issued in 1995</w:t>
      </w:r>
      <w:r>
        <w:rPr>
          <w:rStyle w:val="FootnoteCharacters"/>
          <w:rStyle w:val="FootnoteReference"/>
        </w:rPr>
        <w:footnoteReference w:id="21"/>
      </w:r>
      <w:r>
        <w:rPr/>
        <w:t xml:space="preserve"> which provides that where parties use audio visual methods such as tape recording, video recording etc in performing a civil act, such act may be certified as valid only if there are in addition at least two independent witnesses to the act or if there is other evidence which confirms that the legal elements of a civil act have been satisfied. </w:t>
      </w:r>
    </w:p>
    <w:p>
      <w:pPr>
        <w:pStyle w:val="Normal"/>
        <w:ind w:start="1843" w:end="0"/>
        <w:rPr/>
      </w:pPr>
      <w:r>
        <w:rPr/>
        <w:t xml:space="preserve">In ECI's case, it should ensure that it obtains the prior consent of both parties to a telephone conversation before recording the telephone lines and to the use of recordings for its own business purposes.  In addition, it should ensure there is evidence other than the recording to the conclusion of the Transaction. </w:t>
      </w:r>
    </w:p>
    <w:p>
      <w:pPr>
        <w:pStyle w:val="BodyText"/>
        <w:tabs>
          <w:tab w:val="clear" w:pos="720"/>
          <w:tab w:val="left" w:pos="993" w:leader="none"/>
        </w:tabs>
        <w:ind w:hanging="698" w:start="1418" w:end="0"/>
        <w:rPr/>
      </w:pPr>
      <w:r>
        <w:rPr/>
        <w:t>(d)</w:t>
        <w:tab/>
        <w:t>(i)</w:t>
        <w:tab/>
      </w:r>
      <w:r>
        <w:rPr>
          <w:b/>
          <w:i/>
        </w:rPr>
        <w:t xml:space="preserve">Would any data protection laws in China apply to the Transactions where ECI or the Local Counterparty have data about each other or their customers? </w:t>
      </w:r>
    </w:p>
    <w:p>
      <w:pPr>
        <w:pStyle w:val="BodyText3"/>
        <w:ind w:start="1418" w:end="0"/>
        <w:rPr/>
      </w:pPr>
      <w:r>
        <w:rPr/>
        <w:t>There is no specific data protection law in China.  However, the general duties of confidentiality described in Section 1C(c) above will apply.  To the extent that data is also held on a computer information system in China networked with overseas countries, the work unit using the system is obliged to provide a sound security administration system.</w:t>
      </w:r>
      <w:r>
        <w:rPr>
          <w:rStyle w:val="FootnoteCharacters"/>
          <w:rStyle w:val="FootnoteReference"/>
        </w:rPr>
        <w:footnoteReference w:id="22"/>
      </w:r>
      <w:r>
        <w:rPr/>
        <w:t xml:space="preserve"> </w:t>
      </w:r>
    </w:p>
    <w:p>
      <w:pPr>
        <w:pStyle w:val="BodyText2"/>
        <w:tabs>
          <w:tab w:val="clear" w:pos="720"/>
          <w:tab w:val="left" w:pos="993" w:leader="none"/>
        </w:tabs>
        <w:ind w:hanging="709" w:start="1418" w:end="0"/>
        <w:rPr/>
      </w:pPr>
      <w:r>
        <w:rPr/>
        <w:t>(d)(ii)</w:t>
        <w:tab/>
      </w:r>
      <w:r>
        <w:rPr>
          <w:b/>
          <w:i/>
        </w:rPr>
        <w:t>Would either ECI or the Local Counterparty have responsibility in China for the protection of the data which passes through a telecommunications network, equipment, facilities or circuits as a result of a Transaction?</w:t>
      </w:r>
    </w:p>
    <w:p>
      <w:pPr>
        <w:pStyle w:val="BodyText3"/>
        <w:ind w:start="1418" w:end="0"/>
        <w:rPr/>
      </w:pPr>
      <w:r>
        <w:rPr/>
        <w:t>Other than as described in Section 1C(d)(i) above, we are not aware of any law or regulation which would require ECI or the Local Counterparty to be responsible in China for the protection of the data passing through a telecommunications network, equipment, facilities or circuits as a result of the Transactions.   There may, however, be additional obligations relating to such matters in the licence or approvals granted in respect of the Transactions.</w:t>
      </w:r>
    </w:p>
    <w:p>
      <w:pPr>
        <w:pStyle w:val="BodyText"/>
        <w:ind w:hanging="698" w:start="1418" w:end="0"/>
        <w:rPr/>
      </w:pPr>
      <w:r>
        <w:rPr/>
        <w:t>(e)</w:t>
        <w:tab/>
      </w:r>
      <w:r>
        <w:rPr>
          <w:b/>
          <w:i/>
        </w:rPr>
        <w:t>Does the law of China prescribe any implied terms or conditions that would impact a Transaction?  If so, please outline only the key terms or conditions.</w:t>
      </w:r>
    </w:p>
    <w:p>
      <w:pPr>
        <w:pStyle w:val="BodyText2"/>
        <w:rPr/>
      </w:pPr>
      <w:r>
        <w:rPr/>
        <w:t>The PRC, Contract Law raises the following issues:</w:t>
      </w:r>
    </w:p>
    <w:p>
      <w:pPr>
        <w:pStyle w:val="BodyText2"/>
        <w:numPr>
          <w:ilvl w:val="0"/>
          <w:numId w:val="8"/>
        </w:numPr>
        <w:tabs>
          <w:tab w:val="clear" w:pos="720"/>
        </w:tabs>
        <w:ind w:hanging="403" w:start="1843" w:end="0"/>
        <w:rPr/>
      </w:pPr>
      <w:r>
        <w:rPr>
          <w:b/>
        </w:rPr>
        <w:t>Implied warranty to title.</w:t>
      </w:r>
      <w:r>
        <w:rPr/>
        <w:t xml:space="preserve">  The Seller under a sales contract must have the right to dispose of the subject matter of the sale.</w:t>
      </w:r>
      <w:r>
        <w:rPr>
          <w:rStyle w:val="FootnoteCharacters"/>
          <w:rStyle w:val="FootnoteReference"/>
        </w:rPr>
        <w:footnoteReference w:id="23"/>
      </w:r>
      <w:r>
        <w:rPr/>
        <w:t xml:space="preserve">  This may be construed as the Seller providing an implied warranty to title.</w:t>
      </w:r>
    </w:p>
    <w:p>
      <w:pPr>
        <w:pStyle w:val="BodyText2"/>
        <w:numPr>
          <w:ilvl w:val="0"/>
          <w:numId w:val="8"/>
        </w:numPr>
        <w:tabs>
          <w:tab w:val="clear" w:pos="720"/>
        </w:tabs>
        <w:ind w:hanging="403" w:start="1843" w:end="0"/>
        <w:rPr>
          <w:b/>
        </w:rPr>
      </w:pPr>
      <w:r>
        <w:rPr>
          <w:b/>
        </w:rPr>
        <w:t>Implied warranty to quality.</w:t>
      </w:r>
      <w:r>
        <w:rPr/>
        <w:t xml:space="preserve">  Where there is no express quality standard in the sales contract, the subject matter shall be in accordance with state/industry standards or (in the absence of such standards) in accordance with customary standards or standards consistent with the objective of the contract.</w:t>
      </w:r>
      <w:r>
        <w:rPr>
          <w:rStyle w:val="FootnoteCharacters"/>
          <w:rStyle w:val="FootnoteReference"/>
        </w:rPr>
        <w:footnoteReference w:id="24"/>
      </w:r>
      <w:r>
        <w:rPr/>
        <w:t xml:space="preserve">  This may be construed as an implied term as to quality.</w:t>
      </w:r>
    </w:p>
    <w:p>
      <w:pPr>
        <w:pStyle w:val="BodyText2"/>
        <w:numPr>
          <w:ilvl w:val="0"/>
          <w:numId w:val="8"/>
        </w:numPr>
        <w:tabs>
          <w:tab w:val="clear" w:pos="720"/>
        </w:tabs>
        <w:ind w:hanging="403" w:start="1843" w:end="0"/>
        <w:rPr>
          <w:b/>
        </w:rPr>
      </w:pPr>
      <w:r>
        <w:rPr>
          <w:b/>
        </w:rPr>
        <w:t>Exclusion of liability.</w:t>
      </w:r>
      <w:r>
        <w:rPr/>
        <w:t xml:space="preserve">  An exemption clause is void if it exempts a party from liability for physical damage due to a wilful act or gross negligence, or for personal injury.</w:t>
      </w:r>
      <w:r>
        <w:rPr>
          <w:rStyle w:val="FootnoteCharacters"/>
          <w:rStyle w:val="FootnoteReference"/>
        </w:rPr>
        <w:footnoteReference w:id="25"/>
      </w:r>
    </w:p>
    <w:p>
      <w:pPr>
        <w:pStyle w:val="Heading4"/>
        <w:numPr>
          <w:ilvl w:val="0"/>
          <w:numId w:val="0"/>
        </w:numPr>
        <w:tabs>
          <w:tab w:val="clear" w:pos="720"/>
          <w:tab w:val="left" w:pos="993" w:leader="none"/>
        </w:tabs>
        <w:ind w:hanging="698" w:start="1418" w:end="0"/>
        <w:rPr/>
      </w:pPr>
      <w:r>
        <w:rPr/>
        <w:t>(f)(i)</w:t>
        <w:tab/>
      </w:r>
      <w:r>
        <w:rPr>
          <w:b/>
          <w:i/>
        </w:rPr>
        <w:t xml:space="preserve">Would it be necessary to register, or make notification of, any Transaction entered into with a Local Counterparty (or the Master Agreement or GTCs to which it would be subject) with/to any governmental or other authority or regulatory body in China? </w:t>
      </w:r>
    </w:p>
    <w:p>
      <w:pPr>
        <w:pStyle w:val="BodyText2"/>
        <w:ind w:hanging="425" w:start="1418" w:end="0"/>
        <w:rPr/>
      </w:pPr>
      <w:r>
        <w:rPr/>
        <w:t>(ii)</w:t>
        <w:tab/>
      </w:r>
      <w:r>
        <w:rPr>
          <w:b/>
          <w:i/>
        </w:rPr>
        <w:t>If it would be necessary, whose duty would this be, i</w:t>
      </w:r>
      <w:r>
        <w:rPr/>
        <w:t>.</w:t>
      </w:r>
      <w:r>
        <w:rPr>
          <w:b/>
          <w:i/>
        </w:rPr>
        <w:t>e</w:t>
      </w:r>
      <w:r>
        <w:rPr/>
        <w:t>.</w:t>
      </w:r>
      <w:r>
        <w:rPr>
          <w:b/>
          <w:i/>
        </w:rPr>
        <w:t>, the buyer's or the seller's under a Transaction?</w:t>
      </w:r>
    </w:p>
    <w:p>
      <w:pPr>
        <w:pStyle w:val="BodyText2"/>
        <w:ind w:hanging="425" w:start="1418" w:end="0"/>
        <w:rPr/>
      </w:pPr>
      <w:r>
        <w:rPr/>
        <w:t>(iii)</w:t>
        <w:tab/>
      </w:r>
      <w:r>
        <w:rPr>
          <w:b/>
          <w:i/>
        </w:rPr>
        <w:t>What would be the consequences of so failing to register or make notifications of the Transaction (e</w:t>
      </w:r>
      <w:r>
        <w:rPr/>
        <w:t>.</w:t>
      </w:r>
      <w:r>
        <w:rPr>
          <w:b/>
          <w:i/>
        </w:rPr>
        <w:t>g</w:t>
      </w:r>
      <w:r>
        <w:rPr/>
        <w:t>.</w:t>
      </w:r>
      <w:r>
        <w:rPr>
          <w:b/>
          <w:i/>
        </w:rPr>
        <w:t>, would the Transaction be void or voidable or would it have some other consequence)?</w:t>
      </w:r>
    </w:p>
    <w:p>
      <w:pPr>
        <w:pStyle w:val="BodyText3"/>
        <w:ind w:start="1418" w:end="0"/>
        <w:rPr/>
      </w:pPr>
      <w:r>
        <w:rPr/>
        <w:t xml:space="preserve">We are not aware of any legal requirement for each of the Transactions to be registered or notified to a Chinese government authority or regulatory body, except under the usual periodic reporting requirements for tax, foreign exchange and other purposes that would be applicable to the Local Counterparty as for any enterprise in China, and the additional reporting requirements to its supervising body as part of the annual inspection of its affairs or otherwise.  See also Section 1A(e)(i).  </w:t>
      </w:r>
    </w:p>
    <w:p>
      <w:pPr>
        <w:pStyle w:val="BodyText"/>
        <w:ind w:hanging="698" w:start="1418" w:end="0"/>
        <w:rPr/>
      </w:pPr>
      <w:r>
        <w:rPr/>
        <w:t>(g)</w:t>
        <w:tab/>
      </w:r>
      <w:r>
        <w:rPr>
          <w:b/>
          <w:i/>
        </w:rPr>
        <w:t>If suit were brought in China to enforce the terms of the Master Agreement or GTCs relating to a Transaction and the court in China applied Chinese law (either because the court did not enforce the choice of foreign law – as to which see Section 1D below – or because the parties elected for Chinese law in place of foreign law to govern the Transaction), what are the requirements for contract formation under local law, e.g. offer, acceptance, in writing, witnessed, notarised, under seal, document stamps?</w:t>
      </w:r>
    </w:p>
    <w:p>
      <w:pPr>
        <w:pStyle w:val="BodyText2"/>
        <w:rPr/>
      </w:pPr>
      <w:r>
        <w:rPr/>
        <w:t>Common law concepts of offer, acceptance (permitted to be by conduct) and invitation to treat are adopted in the PRC, Contract Law.</w:t>
      </w:r>
      <w:r>
        <w:rPr>
          <w:rStyle w:val="FootnoteCharacters"/>
          <w:rStyle w:val="FootnoteReference"/>
        </w:rPr>
        <w:footnoteReference w:id="26"/>
      </w:r>
      <w:r>
        <w:rPr/>
        <w:t xml:space="preserve">  There is no requirement, however, for valuable consideration, as under English law.</w:t>
      </w:r>
    </w:p>
    <w:p>
      <w:pPr>
        <w:pStyle w:val="BodyText2"/>
        <w:rPr/>
      </w:pPr>
      <w:r>
        <w:rPr/>
        <w:t>Generally speaking, a contract can be in written, oral or other form.  Contracts in writing are required in limited instances (such as in relation to land transactions) which would not in our view apply to the Transactions.  When laws or administrative regulations stipulate or the parties agree that the contract be concluded in writing, an unwritten contract will nevertheless be deemed to have been formed if one party has already performed its substantive obligations and the other has accepted such performance.</w:t>
      </w:r>
      <w:r>
        <w:rPr>
          <w:rStyle w:val="FootnoteCharacters"/>
          <w:rStyle w:val="FootnoteReference"/>
        </w:rPr>
        <w:footnoteReference w:id="27"/>
      </w:r>
      <w:r>
        <w:rPr/>
        <w:t xml:space="preserve">  A contract can be made through the exchange of email, electronic data exchange and any other tangible means which represents the content.</w:t>
      </w:r>
      <w:r>
        <w:rPr>
          <w:rStyle w:val="FootnoteCharacters"/>
          <w:rStyle w:val="FootnoteReference"/>
        </w:rPr>
        <w:footnoteReference w:id="28"/>
      </w:r>
      <w:r>
        <w:rPr/>
        <w:t xml:space="preserve">  An offer can also be made in the course of conversation but must be accepted promptly unless the parties have otherwise agreed.</w:t>
      </w:r>
      <w:r>
        <w:rPr>
          <w:rStyle w:val="FootnoteCharacters"/>
          <w:rStyle w:val="FootnoteReference"/>
        </w:rPr>
        <w:footnoteReference w:id="29"/>
      </w:r>
    </w:p>
    <w:p>
      <w:pPr>
        <w:pStyle w:val="BodyText2"/>
        <w:rPr/>
      </w:pPr>
      <w:r>
        <w:rPr/>
        <w:t>One point to note is that an acceptance is effective even though it changes the terms of the offer as long as the changes are not substantive in nature.  Substantive changes are defined in Article 30 of the PRC, Contract Law as covering issues such as the subject matter, quantity, quality, time for performance etc.  For non-substantive changes, the terms of the acceptance are binding, unless the offeror promptly objects, or unless the offer prohibits any change.</w:t>
      </w:r>
      <w:r>
        <w:rPr>
          <w:rStyle w:val="FootnoteCharacters"/>
          <w:rStyle w:val="FootnoteReference"/>
        </w:rPr>
        <w:footnoteReference w:id="30"/>
      </w:r>
      <w:r>
        <w:rPr/>
        <w:t xml:space="preserve">  ECI should therefore state in its Master Agreement or GTCs that an acceptance cannot change the terms of its offer.  </w:t>
      </w:r>
    </w:p>
    <w:p>
      <w:pPr>
        <w:pStyle w:val="BodyText2"/>
        <w:rPr/>
      </w:pPr>
      <w:r>
        <w:rPr/>
        <w:t>We are not aware of any legal requirement for a contract in the nature of the Transactions to be witnessed or notarised.  Execution of a written contract may be by signature of an authorised representative of the company or by company seal.</w:t>
      </w:r>
    </w:p>
    <w:p>
      <w:pPr>
        <w:pStyle w:val="BodyText2"/>
        <w:rPr/>
      </w:pPr>
      <w:r>
        <w:rPr/>
        <w:t>ECI should also note that it is under more onerous obligations due to its adoption of a standard-form contract for the Transactions.  In particular, the PRC Contract Law</w:t>
      </w:r>
      <w:r>
        <w:rPr>
          <w:i/>
        </w:rPr>
        <w:t xml:space="preserve"> </w:t>
      </w:r>
      <w:r>
        <w:rPr/>
        <w:t>permit the use of standard clauses, such clauses must be fair, the contract provider must use reasonable methods to draw the other party’s attention to any provisions exempting or limiting its obligations, and any provisions that exempt the provider’s obligations for personal injury or property losses due to its intentional acts or gross negligence are invalid.</w:t>
      </w:r>
      <w:r>
        <w:rPr>
          <w:rStyle w:val="FootnoteCharacters"/>
          <w:rStyle w:val="FootnoteReference"/>
        </w:rPr>
        <w:footnoteReference w:id="31"/>
      </w:r>
      <w:r>
        <w:rPr/>
        <w:t xml:space="preserve">  Furthermore, in the event there are different interpretations over a standard clause, the clause will be interpreted against the party providing the clause. </w:t>
      </w:r>
    </w:p>
    <w:p>
      <w:pPr>
        <w:pStyle w:val="Heading2"/>
        <w:keepNext w:val="true"/>
        <w:ind w:hanging="0" w:start="0"/>
        <w:rPr/>
      </w:pPr>
      <w:bookmarkStart w:id="21" w:name="__RefHeading___Toc470337127"/>
      <w:bookmarkEnd w:id="21"/>
      <w:r>
        <w:rPr/>
        <w:t>Section 1D:</w:t>
        <w:tab/>
        <w:t>Jurisdiction and Enforcement</w:t>
      </w:r>
    </w:p>
    <w:p>
      <w:pPr>
        <w:pStyle w:val="BodyText"/>
        <w:rPr/>
      </w:pPr>
      <w:r>
        <w:rPr/>
        <w:t>For the purposes of this Section 1D, you have asked us to assume the following:</w:t>
      </w:r>
    </w:p>
    <w:p>
      <w:pPr>
        <w:pStyle w:val="bullet"/>
        <w:numPr>
          <w:ilvl w:val="0"/>
          <w:numId w:val="17"/>
        </w:numPr>
        <w:tabs>
          <w:tab w:val="clear" w:pos="720"/>
        </w:tabs>
        <w:ind w:hanging="709" w:start="1418" w:end="0"/>
        <w:rPr/>
      </w:pPr>
      <w:r>
        <w:rPr/>
        <w:t>Disputes relating to Transactions between ECI and a Local Counterparty were referred to either:</w:t>
      </w:r>
    </w:p>
    <w:p>
      <w:pPr>
        <w:pStyle w:val="squarebullet"/>
        <w:numPr>
          <w:ilvl w:val="0"/>
          <w:numId w:val="13"/>
        </w:numPr>
        <w:tabs>
          <w:tab w:val="clear" w:pos="720"/>
          <w:tab w:val="left" w:pos="1778" w:leader="none"/>
        </w:tabs>
        <w:ind w:hanging="360" w:start="1778" w:end="0"/>
        <w:rPr/>
      </w:pPr>
      <w:r>
        <w:rPr/>
        <w:t>Arbitration governed by the U.S. Federal Arbitration Act ("FAA") and conducted in accordance with the American Arbitration Association Commercial Arbitration Rules ("AAA") in New York City; or</w:t>
      </w:r>
    </w:p>
    <w:p>
      <w:pPr>
        <w:pStyle w:val="BodyText2"/>
        <w:numPr>
          <w:ilvl w:val="0"/>
          <w:numId w:val="26"/>
        </w:numPr>
        <w:tabs>
          <w:tab w:val="clear" w:pos="720"/>
          <w:tab w:val="left" w:pos="1701" w:leader="none"/>
          <w:tab w:val="left" w:pos="1778" w:leader="none"/>
        </w:tabs>
        <w:ind w:hanging="360" w:start="1778" w:end="0"/>
        <w:rPr/>
      </w:pPr>
      <w:r>
        <w:rPr>
          <w:rFonts w:eastAsia="CG Times"/>
        </w:rPr>
        <w:t xml:space="preserve"> </w:t>
      </w:r>
      <w:r>
        <w:rPr/>
        <w:t>International arbitration under the Rules of the International Chamber of Commerce ("ICC Rules") or of the London Chamber of International Arbitration ("LCIA"), in either case in London; and</w:t>
      </w:r>
    </w:p>
    <w:p>
      <w:pPr>
        <w:pStyle w:val="bullet"/>
        <w:numPr>
          <w:ilvl w:val="0"/>
          <w:numId w:val="17"/>
        </w:numPr>
        <w:tabs>
          <w:tab w:val="clear" w:pos="720"/>
        </w:tabs>
        <w:ind w:hanging="709" w:start="1418" w:end="0"/>
        <w:rPr/>
      </w:pPr>
      <w:r>
        <w:rPr/>
        <w:t>The governing law of the Master Agreement or GTCs would be New York law but that in certain cases (e.g., where the stipulated dispute resolution forum was changed to London) then the governing law may be the laws of England; and</w:t>
      </w:r>
    </w:p>
    <w:p>
      <w:pPr>
        <w:pStyle w:val="bullet"/>
        <w:numPr>
          <w:ilvl w:val="0"/>
          <w:numId w:val="17"/>
        </w:numPr>
        <w:tabs>
          <w:tab w:val="clear" w:pos="720"/>
        </w:tabs>
        <w:ind w:hanging="709" w:start="1418" w:end="0"/>
        <w:rPr/>
      </w:pPr>
      <w:r>
        <w:rPr/>
        <w:t>In all cases, however, that either form of arbitration will be conducted in the English language.</w:t>
      </w:r>
    </w:p>
    <w:p>
      <w:pPr>
        <w:pStyle w:val="Heading4"/>
        <w:ind w:hanging="0" w:start="0"/>
        <w:rPr>
          <w:b/>
          <w:i/>
          <w:i/>
        </w:rPr>
      </w:pPr>
      <w:r>
        <w:rPr>
          <w:b/>
          <w:i/>
        </w:rPr>
        <w:t>Would any Local Counterparty (public or private) be granted immunity from suit, attachment of assets or execution of judgments, either in the form of sovereign immunity or otherwise?</w:t>
      </w:r>
    </w:p>
    <w:p>
      <w:pPr>
        <w:pStyle w:val="BodyText2"/>
        <w:rPr/>
      </w:pPr>
      <w:r>
        <w:rPr/>
        <w:t xml:space="preserve">Generally speaking, if the Local Counterparty is a private company or state-owned enterprise, it should not be able to enjoy any state immunity from suit, attachment of assets or execution of judgments when engaging in the Transactions.  For government departments such as the Ministry of Finance and MII, it is a common practice to require them to declare waiver of sovereignty if they are to be engaged  in commercial transactions. </w:t>
        <w:tab/>
      </w:r>
    </w:p>
    <w:p>
      <w:pPr>
        <w:pStyle w:val="BodyText2"/>
        <w:rPr/>
      </w:pPr>
      <w:r>
        <w:rPr/>
        <w:t>ECI should obtain a legal opinion from local counsel confirming the enforceability of a Transaction where the Local Counterparty is a government department or government-affiliated organisation</w:t>
      </w:r>
      <w:r>
        <w:rPr>
          <w:i/>
        </w:rPr>
        <w:t xml:space="preserve"> </w:t>
      </w:r>
      <w:r>
        <w:rPr/>
        <w:t>(see also Section 1B(a) above).</w:t>
      </w:r>
    </w:p>
    <w:p>
      <w:pPr>
        <w:pStyle w:val="Heading4"/>
        <w:ind w:hanging="0" w:start="0"/>
        <w:rPr>
          <w:b/>
          <w:i/>
          <w:i/>
        </w:rPr>
      </w:pPr>
      <w:r>
        <w:rPr>
          <w:b/>
          <w:i/>
        </w:rPr>
        <w:t>Please confirm that the agreement of a Local Counterparty to submit to the substantive law of the State of New York and to submit to either (i) AAA arbitration under the FAA to be held in New York City, or (ii) arbitration under either the ICC or LCIA Rules to be held in London, would be legally valid, binding and enforceable under the laws of China</w:t>
      </w:r>
      <w:r>
        <w:rPr/>
        <w:t>.</w:t>
      </w:r>
    </w:p>
    <w:p>
      <w:pPr>
        <w:pStyle w:val="BodyText2"/>
        <w:rPr/>
      </w:pPr>
      <w:r>
        <w:rPr/>
        <w:t>Under Chinese law, the parties to a foreign related contract (such as the Transaction, where one of the parties is a foreign company) are free to choose the governing law.  There are a number of limited exceptions to this general principle, for example where the contract is of a particular type which is required under the laws of China to be governed by Chinese law (such as sino-foreign joint venture contracts).  We are not aware of any such exception applying in the case of the Transactions.</w:t>
      </w:r>
    </w:p>
    <w:p>
      <w:pPr>
        <w:pStyle w:val="BodyText2"/>
        <w:rPr/>
      </w:pPr>
      <w:r>
        <w:rPr/>
        <w:t>China is a signatory to the Convention on the Recognition and Enforcement of Foreign Arbitral Awards adopted in 1958 (the "</w:t>
      </w:r>
      <w:r>
        <w:rPr>
          <w:b/>
        </w:rPr>
        <w:t>New York Convention</w:t>
      </w:r>
      <w:r>
        <w:rPr/>
        <w:t xml:space="preserve">") .  Article 269 of the Civil Procedure Law requires the People's Courts to comply with applicable international treaties or agreement regarding foreign arbitral awards. </w:t>
      </w:r>
    </w:p>
    <w:p>
      <w:pPr>
        <w:pStyle w:val="BodyText2"/>
        <w:rPr>
          <w:b/>
          <w:i/>
          <w:i/>
        </w:rPr>
      </w:pPr>
      <w:r>
        <w:rPr/>
        <w:t>On this basis, the choice of arbitration in a foreign arbitration centre should, generally speaking, be enforceable and valid in China provided that the arbitration agreement complies with the requirements set out in the PRC,</w:t>
      </w:r>
      <w:r>
        <w:rPr>
          <w:i/>
        </w:rPr>
        <w:t xml:space="preserve"> </w:t>
      </w:r>
      <w:r>
        <w:rPr/>
        <w:t>Arbitration Law;</w:t>
      </w:r>
      <w:r>
        <w:rPr>
          <w:rStyle w:val="FootnoteCharacters"/>
          <w:rStyle w:val="FootnoteReference"/>
        </w:rPr>
        <w:footnoteReference w:id="32"/>
      </w:r>
      <w:r>
        <w:rPr>
          <w:i/>
        </w:rPr>
        <w:t xml:space="preserve"> </w:t>
      </w:r>
      <w:r>
        <w:rPr/>
        <w:t xml:space="preserve">namely, that the agreement be in writing and indicates the intention to apply for arbitration, the matters to be arbitrated and the arbitration commission selected.  The agreement should also state the rules of arbitration to be applied.  An arbitration agreement is void where the agreed matters fall outside the scope of arbitration as a matter of law, the parties lacked capacity or there was coercion involved.  </w:t>
      </w:r>
    </w:p>
    <w:p>
      <w:pPr>
        <w:pStyle w:val="BodyText"/>
        <w:tabs>
          <w:tab w:val="clear" w:pos="720"/>
          <w:tab w:val="left" w:pos="993" w:leader="none"/>
        </w:tabs>
        <w:ind w:hanging="698" w:start="1418" w:end="0"/>
        <w:rPr/>
      </w:pPr>
      <w:r>
        <w:rPr/>
        <w:t>(c)(i)</w:t>
        <w:tab/>
      </w:r>
      <w:r>
        <w:rPr>
          <w:b/>
          <w:i/>
        </w:rPr>
        <w:t>Would</w:t>
      </w:r>
      <w:r>
        <w:rPr/>
        <w:t xml:space="preserve"> </w:t>
      </w:r>
      <w:r>
        <w:rPr>
          <w:b/>
          <w:i/>
        </w:rPr>
        <w:t>a court in China enforce a judgment rendered by either (i) arbitrators in New York governed by the FAA and pursuant to the AAA Rules or (ii) arbitrators in London pursuant to either the ICC or LCIA Rules?</w:t>
      </w:r>
    </w:p>
    <w:p>
      <w:pPr>
        <w:pStyle w:val="BodyText2"/>
        <w:rPr/>
      </w:pPr>
      <w:r>
        <w:rPr/>
        <w:t xml:space="preserve">As a signatory to the New York Convention, a court in China is generally obliged to enforce arbitral awards made within the territory of another contracting state of the New York Convention (including the USA and England), subject only to the limited exceptions set out in Sections 1 and 2 of Article V of the Convention and, in addition, to confirming compliance with the relevant provisions of the Civil Procedure Law (see last paragraph of this section). </w:t>
      </w:r>
    </w:p>
    <w:p>
      <w:pPr>
        <w:pStyle w:val="BodyText2"/>
        <w:rPr/>
      </w:pPr>
      <w:r>
        <w:rPr/>
        <w:t>China's accession to the New York Convention was also made subject to the "commercial" reservation, such that China will only apply the Convention to differences arising out of legal relationships which are regarded as commercial under its law.  The meaning of the term 'commercial' was the subject of clarification in a Circular issued in 1987.</w:t>
      </w:r>
      <w:r>
        <w:rPr>
          <w:rStyle w:val="FootnoteCharacters"/>
          <w:rStyle w:val="FootnoteReference"/>
        </w:rPr>
        <w:footnoteReference w:id="33"/>
      </w:r>
      <w:r>
        <w:rPr/>
        <w:t xml:space="preserve">  The Circular stated that China would apply the New York Convention only to disputes arising out of what are to be considered "commercial legal relationships of a contractual nature or non-contractual nature" but would exclude disputes between foreign investors and governments of host countries.  We do not believe that the commercial reservation is likely to apply in the case of the Transactions.  </w:t>
      </w:r>
    </w:p>
    <w:p>
      <w:pPr>
        <w:pStyle w:val="BodyText2"/>
        <w:rPr/>
      </w:pPr>
      <w:r>
        <w:rPr/>
        <w:t>The PRC Civil Procedure Law provides that a court may refuse enforcement of a foreign award if the award is contrary to the social and public interest of China.</w:t>
      </w:r>
      <w:r>
        <w:rPr>
          <w:rStyle w:val="FootnoteCharacters"/>
          <w:rStyle w:val="FootnoteReference"/>
        </w:rPr>
        <w:footnoteReference w:id="34"/>
      </w:r>
      <w:r>
        <w:rPr/>
        <w:t xml:space="preserve">  This accords with one of the exceptions to enforcement listed in Article V of the New York Convention.</w:t>
      </w:r>
    </w:p>
    <w:p>
      <w:pPr>
        <w:pStyle w:val="BodyText"/>
        <w:keepNext w:val="true"/>
        <w:tabs>
          <w:tab w:val="clear" w:pos="720"/>
          <w:tab w:val="left" w:pos="993" w:leader="none"/>
        </w:tabs>
        <w:ind w:hanging="698" w:start="1418" w:end="0"/>
        <w:rPr/>
      </w:pPr>
      <w:r>
        <w:rPr/>
        <w:t>(c)(ii)</w:t>
        <w:tab/>
      </w:r>
      <w:r>
        <w:rPr>
          <w:b/>
          <w:i/>
        </w:rPr>
        <w:t>Is there any possibility of the national or local courts of China challenging or otherwise intervening in relation to any award made by any such arbitral tribunal?</w:t>
      </w:r>
    </w:p>
    <w:p>
      <w:pPr>
        <w:pStyle w:val="BodyText2"/>
        <w:keepNext w:val="true"/>
        <w:rPr/>
      </w:pPr>
      <w:r>
        <w:rPr/>
        <w:t>Please see Section 1D(c)(i) above.</w:t>
      </w:r>
    </w:p>
    <w:p>
      <w:pPr>
        <w:pStyle w:val="BodyText2"/>
        <w:rPr/>
      </w:pPr>
      <w:r>
        <w:rPr/>
        <w:t>Although China's accession to the New York Convention provides a legal framework for the enforcement of foreign arbitration awards in China, foreign parties have continued to express some concern at the practical difficulties which they have encountered when seeking to enforce an arbitral award in China.  In response to these concerns, the Supreme People's Court issued a Notice in 1995.</w:t>
      </w:r>
      <w:r>
        <w:rPr>
          <w:rStyle w:val="FootnoteCharacters"/>
          <w:rStyle w:val="FootnoteReference"/>
        </w:rPr>
        <w:footnoteReference w:id="35"/>
      </w:r>
      <w:r>
        <w:rPr/>
        <w:t xml:space="preserve">  The Notice requires any People's Court seeking to refuse enforcement of a foreign arbitral award first to receive approval from the Superior People's Court in the same jurisdiction.  Any superior court that upholds a People's Court refusal of enforcement must, in turn, report its decision to the Supreme People's Court.  This protective system of review and scrutiny over the enforcement of foreign arbitral awards is exercised in very few other countries.</w:t>
      </w:r>
    </w:p>
    <w:p>
      <w:pPr>
        <w:pStyle w:val="BodyText2"/>
        <w:rPr/>
      </w:pPr>
      <w:r>
        <w:rPr/>
        <w:t>Reports of problems enforcing foreign and foreign-related arbitral awards in China have increased only in the last 8-10 years.  Because applications for enforcement are made locally and there is no centralised record-keeping mechanism in China for tracking arbitral award enforcements, the percentage of cases that have been successfully enforced is unknown.  However, according to a recent study conducted by the Arbitration Research Institute of the China Chamber of International Commerce (presented to a public audience earlier this year), only three out of the 14 recorded foreign arbitral awards were refused enforcement.  The three cases were refused on the grounds of unavailable assets, the non-existence of the party subject to enforcement, and other difficulties.</w:t>
      </w:r>
    </w:p>
    <w:p>
      <w:pPr>
        <w:pStyle w:val="BodyText2"/>
        <w:tabs>
          <w:tab w:val="clear" w:pos="720"/>
          <w:tab w:val="left" w:pos="993" w:leader="none"/>
        </w:tabs>
        <w:ind w:hanging="709" w:start="1418" w:end="0"/>
        <w:rPr/>
      </w:pPr>
      <w:r>
        <w:rPr/>
        <w:t>(c)(iii)</w:t>
        <w:tab/>
      </w:r>
      <w:r>
        <w:rPr>
          <w:b/>
          <w:i/>
        </w:rPr>
        <w:t>Would a party have any right to appeal to the courts in China in respect of an award made by either such body, or could it challenge the validity of the award?</w:t>
      </w:r>
    </w:p>
    <w:p>
      <w:pPr>
        <w:pStyle w:val="BodyText2"/>
        <w:rPr/>
      </w:pPr>
      <w:r>
        <w:rPr/>
        <w:t>As a general proposition, a party may not appeal to a People's Court against a foreign arbitral award of another New York Convention member country, unless one of the grounds for opposing enforcement listed in our response to paragraph (c)(i) above is applicable.</w:t>
      </w:r>
    </w:p>
    <w:p>
      <w:pPr>
        <w:pStyle w:val="BodyText"/>
        <w:ind w:hanging="698" w:start="1418" w:end="0"/>
        <w:rPr/>
      </w:pPr>
      <w:r>
        <w:rPr/>
        <w:t>(d)</w:t>
        <w:tab/>
      </w:r>
      <w:r>
        <w:rPr>
          <w:b/>
          <w:i/>
        </w:rPr>
        <w:t>If an award of arbitrators pursuant to either form and location of arbitration as referred to in the assumptions to this Section 1D set out above is enforceable in the courts of China, would ECI experience any significant delays in such courts in seeking enforcement of such award?</w:t>
      </w:r>
    </w:p>
    <w:p>
      <w:pPr>
        <w:pStyle w:val="BodyText2"/>
        <w:rPr/>
      </w:pPr>
      <w:r>
        <w:rPr/>
        <w:t>ECI may well experience significant delay in seeking the enforcement of arbitration awards of foreign arbitration institutions in China.  Under regulations issued by the Supreme People's Court in 1998,</w:t>
      </w:r>
      <w:r>
        <w:rPr>
          <w:rStyle w:val="FootnoteCharacters"/>
          <w:rStyle w:val="FootnoteReference"/>
        </w:rPr>
        <w:footnoteReference w:id="36"/>
      </w:r>
      <w:r>
        <w:rPr/>
        <w:t xml:space="preserve"> enforcement of arbitration should be completed within six months of the order of enforcement from the People's Court.  However, we have represented clients that have experienced significant delays in obtaining an order of enforcement and also in affecting such an order, often due to the fact that the court has been unable to locate assets against which the award can be enforced.</w:t>
      </w:r>
    </w:p>
    <w:p>
      <w:pPr>
        <w:pStyle w:val="Normal"/>
        <w:rPr/>
      </w:pPr>
      <w:r>
        <w:rPr/>
        <w:t>4.6</w:t>
        <w:tab/>
      </w:r>
      <w:r>
        <w:rPr>
          <w:b/>
        </w:rPr>
        <w:t>Section 1E:</w:t>
        <w:tab/>
        <w:t>Events of Default, Insolvency and Early Termination</w:t>
      </w:r>
    </w:p>
    <w:p>
      <w:pPr>
        <w:pStyle w:val="BodyText"/>
        <w:rPr/>
      </w:pPr>
      <w:r>
        <w:rPr/>
        <w:t xml:space="preserve">We understand from the Survey Questionnaire that the Local Counterparty to the Master Agreement/GTCs may be a corporation or partnership, a utility, a municipal entity, a government-owned entity or a financial institution, but that it will not be an individual.  </w:t>
      </w:r>
    </w:p>
    <w:p>
      <w:pPr>
        <w:pStyle w:val="BodyText"/>
        <w:rPr/>
      </w:pPr>
      <w:r>
        <w:rPr/>
        <w:t>In respect of those questions relating to the bankruptcy laws in China, we would draw your attention to the following background.  There are a number of relevant laws, rules and Supreme People's Court Opinions relating to bankruptcy including:</w:t>
      </w:r>
    </w:p>
    <w:p>
      <w:pPr>
        <w:pStyle w:val="bullet"/>
        <w:numPr>
          <w:ilvl w:val="0"/>
          <w:numId w:val="17"/>
        </w:numPr>
        <w:tabs>
          <w:tab w:val="clear" w:pos="720"/>
          <w:tab w:val="left" w:pos="1440" w:leader="none"/>
        </w:tabs>
        <w:ind w:hanging="720" w:start="1440" w:end="0"/>
        <w:rPr/>
      </w:pPr>
      <w:r>
        <w:rPr/>
        <w:t>PRC Enterprise Bankruptcy Law (Trial Implementation) promulgated on 2 December 1986 (the "</w:t>
      </w:r>
      <w:r>
        <w:rPr>
          <w:b/>
        </w:rPr>
        <w:t>Bankruptcy Law</w:t>
      </w:r>
      <w:r>
        <w:rPr/>
        <w:t xml:space="preserve">"); </w:t>
      </w:r>
    </w:p>
    <w:p>
      <w:pPr>
        <w:pStyle w:val="bullet"/>
        <w:numPr>
          <w:ilvl w:val="0"/>
          <w:numId w:val="17"/>
        </w:numPr>
        <w:tabs>
          <w:tab w:val="clear" w:pos="720"/>
          <w:tab w:val="left" w:pos="1440" w:leader="none"/>
        </w:tabs>
        <w:ind w:hanging="720" w:start="1440" w:end="0"/>
        <w:rPr/>
      </w:pPr>
      <w:r>
        <w:rPr/>
        <w:t>PRC Civil Procedure Code promulgated on 9 April 1991 (the "</w:t>
      </w:r>
      <w:r>
        <w:rPr>
          <w:b/>
        </w:rPr>
        <w:t>Civil Procedure Code</w:t>
      </w:r>
      <w:r>
        <w:rPr/>
        <w:t>");</w:t>
      </w:r>
    </w:p>
    <w:p>
      <w:pPr>
        <w:pStyle w:val="bullet"/>
        <w:numPr>
          <w:ilvl w:val="0"/>
          <w:numId w:val="17"/>
        </w:numPr>
        <w:tabs>
          <w:tab w:val="clear" w:pos="720"/>
          <w:tab w:val="left" w:pos="1440" w:leader="none"/>
        </w:tabs>
        <w:ind w:hanging="720" w:start="1440" w:end="0"/>
        <w:rPr/>
      </w:pPr>
      <w:r>
        <w:rPr/>
        <w:t>Opinion of the Supreme People's Court on Several Problems in the Implementation of the PRC Enterprise Bankruptcy Law (Trial Implementation</w:t>
      </w:r>
      <w:r>
        <w:rPr>
          <w:i/>
        </w:rPr>
        <w:t xml:space="preserve">) </w:t>
      </w:r>
      <w:r>
        <w:rPr/>
        <w:t>issued on 7 November 1991 (the "</w:t>
      </w:r>
      <w:r>
        <w:rPr>
          <w:b/>
        </w:rPr>
        <w:t>Bankruptcy Opinion</w:t>
      </w:r>
      <w:r>
        <w:rPr/>
        <w:t>"); and</w:t>
      </w:r>
    </w:p>
    <w:p>
      <w:pPr>
        <w:pStyle w:val="bullet"/>
        <w:numPr>
          <w:ilvl w:val="0"/>
          <w:numId w:val="17"/>
        </w:numPr>
        <w:tabs>
          <w:tab w:val="clear" w:pos="720"/>
          <w:tab w:val="left" w:pos="1440" w:leader="none"/>
        </w:tabs>
        <w:ind w:hanging="720" w:start="1440" w:end="0"/>
        <w:rPr/>
      </w:pPr>
      <w:r>
        <w:rPr/>
        <w:t>Opinion of the Supreme People's Court on Certain Questions Concerning the Applicability of the PRC Civil Procedure Code issued on 14 July 1992 (the "</w:t>
      </w:r>
      <w:r>
        <w:rPr>
          <w:b/>
        </w:rPr>
        <w:t>Civil Procedure Opinion</w:t>
      </w:r>
      <w:r>
        <w:rPr/>
        <w:t>").</w:t>
      </w:r>
    </w:p>
    <w:p>
      <w:pPr>
        <w:pStyle w:val="BodyText"/>
        <w:rPr/>
      </w:pPr>
      <w:r>
        <w:rPr/>
        <w:t>In addition, there are also local bankruptcy rules adopted at different localities in China, such as the Rules of Guangdong Province on Company Bankruptcy passed by the Guangdong Provincial People's Congress and effective from 1 August 1993 which applies only to companies incorporated in Guangdong province.</w:t>
      </w:r>
    </w:p>
    <w:p>
      <w:pPr>
        <w:pStyle w:val="BodyText"/>
        <w:rPr/>
      </w:pPr>
      <w:r>
        <w:rPr/>
        <w:t>While the Civil Procedure Code and the Civil Procedure Opinion are of general application to enterprises which enjoy legal person status, the Bankruptcy Law and the Bankruptcy Opinions strictly speaking only apply to the bankruptcy of Chinese state-owned enterprises.  However, given the limitations of the corporate bankruptcy provisions of the Civil Procedure Code and the Civil Procedure Opinion, and given the general under</w:t>
        <w:noBreakHyphen/>
        <w:t>developed state of PRC bankruptcy law, in practice reference is likely to be made to the Bankruptcy Law and Bankruptcy Opinion in respect of the bankruptcy of all enterprises including foreign investment enterprises.</w:t>
      </w:r>
    </w:p>
    <w:p>
      <w:pPr>
        <w:pStyle w:val="BodyText"/>
        <w:rPr/>
      </w:pPr>
      <w:r>
        <w:rPr/>
        <w:t>In light of the above, our analysis on bankruptcy issues below is based largely on the Bankruptcy Law and Bankruptcy Opinion.  It should be noted that the approach taken by a Chinese bankruptcy court may differ in practice as illustrated in the ongoing bankruptcy proceedings of Guangdong International Trust &amp; Investment Corporation ("</w:t>
      </w:r>
      <w:r>
        <w:rPr>
          <w:b/>
        </w:rPr>
        <w:t>GITIC</w:t>
      </w:r>
      <w:r>
        <w:rPr/>
        <w:t xml:space="preserve">") (a non-banking financial institution owned by the Guangdong Provincial Government), which is the largest case of bankruptcy in China to date.  In this connection, it is worth noting that the Chinese central government is in the process of finalising a set of new and more comprehensive bankruptcy regulations which (it is hoped) should provide further guidance on corporate insolvency in China.  </w:t>
      </w:r>
    </w:p>
    <w:p>
      <w:pPr>
        <w:pStyle w:val="Heading4"/>
        <w:numPr>
          <w:ilvl w:val="3"/>
          <w:numId w:val="28"/>
        </w:numPr>
        <w:ind w:hanging="0" w:start="0"/>
        <w:rPr>
          <w:b/>
          <w:i/>
          <w:i/>
        </w:rPr>
      </w:pPr>
      <w:r>
        <w:rPr>
          <w:b/>
          <w:i/>
        </w:rPr>
        <w:t>Assuming no Bankruptcy Proceeding (as such term is defined in the Master Agreement/GTCs) or similar event occurred to a Local Counterparty, if Chinese law were the governing law of a Transaction(s) (rather than New York or English law) with the Local Counterparty, would a court in China enforce the Early Termination provisions of Section 6 of the Master Agreement or GTCs (including, but not limited to, the set-off provisions thereof) against a Local Counterparty?</w:t>
      </w:r>
    </w:p>
    <w:p>
      <w:pPr>
        <w:pStyle w:val="BodyText2"/>
        <w:rPr/>
      </w:pPr>
      <w:r>
        <w:rPr/>
        <w:t>Articles 91 and 93 of the PRC Contract Law provide that contract parties may stipulate in the contract terms conditions for the exercise of right of termination by a party.  ECI is, therefore, entitled in the Master Agreement/GTCs to stipulate events of early termination.  The court will have regard to the following principles when determining whether such provisions are enforceable:</w:t>
      </w:r>
    </w:p>
    <w:p>
      <w:pPr>
        <w:pStyle w:val="BodyText2"/>
        <w:numPr>
          <w:ilvl w:val="0"/>
          <w:numId w:val="6"/>
        </w:numPr>
        <w:ind w:hanging="397" w:start="1837" w:end="0"/>
        <w:rPr/>
      </w:pPr>
      <w:r>
        <w:rPr>
          <w:b/>
        </w:rPr>
        <w:t>Fair and unambiguous</w:t>
      </w:r>
      <w:r>
        <w:rPr/>
        <w:t>.</w:t>
      </w:r>
      <w:r>
        <w:rPr>
          <w:b/>
        </w:rPr>
        <w:t xml:space="preserve">  </w:t>
      </w:r>
      <w:r>
        <w:rPr/>
        <w:t>In general, the clauses of a standard-form contract will be subject to closer scrutiny by the court than a contract specifically negotiated between the parties.  In particular, a standard-form contract must be fair and clear (see Section 1C(g)).  It is possible, for example, that the calculation of the early termination payment under Clause 6.2 of the Master Agreement/GTCs could be construed as unfair in the absence of any right of objection or appeal by the defaulting party to the non-defaulting party's calculation of the amount of the early termination payment.</w:t>
      </w:r>
    </w:p>
    <w:p>
      <w:pPr>
        <w:pStyle w:val="BodyText2"/>
        <w:widowControl w:val="false"/>
        <w:numPr>
          <w:ilvl w:val="0"/>
          <w:numId w:val="14"/>
        </w:numPr>
        <w:ind w:hanging="397" w:start="1837" w:end="0"/>
        <w:rPr/>
      </w:pPr>
      <w:r>
        <w:rPr>
          <w:b/>
        </w:rPr>
        <w:t>Liquidated damages/penalty</w:t>
      </w:r>
      <w:r>
        <w:rPr/>
        <w:t>.</w:t>
      </w:r>
      <w:r>
        <w:rPr>
          <w:b/>
        </w:rPr>
        <w:t xml:space="preserve">  </w:t>
      </w:r>
      <w:r>
        <w:rPr/>
        <w:t xml:space="preserve">The early termination payment under Clause 6.2.2 of the Master Agreement/GTCs may also be regarded as a type of liquidated damages (see Section 1F below for a discussion of the circumstances in which a liquidated damages clause may be reconsidered by a court in China).  We note that the early termination payment may be payable </w:t>
      </w:r>
      <w:r>
        <w:rPr>
          <w:i/>
        </w:rPr>
        <w:t>in addition to</w:t>
      </w:r>
      <w:r>
        <w:rPr/>
        <w:t xml:space="preserve"> liquidated damages in the event there is a deficiency in the traded bandwidth which constitutes breaches of Clause 3.5(b)(ii) and Clause 6.1(vi).  If so, this is likely to be taken into account by a court in China when determining whether the clause is reasonable or the liquidated damages payable is too high.</w:t>
      </w:r>
    </w:p>
    <w:p>
      <w:pPr>
        <w:pStyle w:val="BodyText2"/>
        <w:numPr>
          <w:ilvl w:val="0"/>
          <w:numId w:val="23"/>
        </w:numPr>
        <w:ind w:hanging="397" w:start="1837" w:end="0"/>
        <w:rPr/>
      </w:pPr>
      <w:r>
        <w:rPr>
          <w:b/>
        </w:rPr>
        <w:t>Rights of set off</w:t>
      </w:r>
      <w:r>
        <w:rPr/>
        <w:t>.</w:t>
      </w:r>
      <w:r>
        <w:rPr>
          <w:b/>
        </w:rPr>
        <w:t xml:space="preserve">  </w:t>
      </w:r>
      <w:r>
        <w:rPr/>
        <w:t>Article 99 of the PRC Contract Law provides that parties to a contract may set off their rights and obligations towards each other where such rights and obligations are of the same type and nature.  Article 100 of the PRC Contract Law further provides that the parties may also agree to set off their rights and obligations which are of a different type or nature.  Therefore, in our view, ECI should be entitled to set off its own rights and obligations against the Local Counterparty under Clause 6 of the Master Agreement.</w:t>
      </w:r>
    </w:p>
    <w:p>
      <w:pPr>
        <w:pStyle w:val="BodyText2"/>
        <w:ind w:start="1837" w:end="0"/>
        <w:rPr/>
      </w:pPr>
      <w:r>
        <w:rPr/>
        <w:t>Under the PRC Contract Law, it is not clear whether ECI would also be entitled to set off the rights and obligations of its Affiliates against the Local Counterparty, although development in the GITIC bankruptcy suggests (at least in the context of bankruptcy) that ECI's Affiliates would have to assign their rights and obligations to ECI before the latter may exercise its rights of set off against the Local Counterparty.  Although under the PRC Contract Law, a party may assign its contractual rights and obligations to a third party with notice to the other contract party (e.g. the Local Counterparty), in the GITIC bankruptcy it has been held by the liquidation committee and the Guangdong Higher People's Court supervising the bankrupt proceedings, that approvals of both the liquidation committee and the Court are required for such assignment.  In that case, neither the liquidation committee nor the Court has been prepared to grant its approval for such assignment.  Therefore, in the event of bankruptcy of the Local Counterparty, ECI may find itself unable to set off the rights and obligations of its Affiliates against the Local Counterparty, although ECI should still be able to set off its own rights and obligations against those of the Local Counterparty (discussed in greater detail below).</w:t>
      </w:r>
    </w:p>
    <w:p>
      <w:pPr>
        <w:pStyle w:val="Heading4"/>
        <w:ind w:hanging="0" w:start="0"/>
        <w:rPr>
          <w:b/>
          <w:i/>
          <w:i/>
        </w:rPr>
      </w:pPr>
      <w:r>
        <w:rPr>
          <w:b/>
          <w:i/>
        </w:rPr>
        <w:t>If the Master Agreement/GTCs (and their underlying Transactions) could be so terminated, would a court in China, applying Chinese law, give effect to the Early Termination  Payment provisions of the Master Agreement/GTCs, without requiring some additional act or condition (e.g. judicial approval or a statement before a notary in order to effect a set-off)?</w:t>
      </w:r>
    </w:p>
    <w:p>
      <w:pPr>
        <w:pStyle w:val="BodyText2"/>
        <w:rPr/>
      </w:pPr>
      <w:r>
        <w:rPr/>
        <w:t>We do not believe any additional judicial approval or other act or condition would be required in order to give effect to the early termination payment provisions.</w:t>
      </w:r>
    </w:p>
    <w:p>
      <w:pPr>
        <w:pStyle w:val="Heading4"/>
        <w:ind w:hanging="0" w:start="0"/>
        <w:rPr>
          <w:b/>
          <w:i/>
          <w:i/>
        </w:rPr>
      </w:pPr>
      <w:r>
        <w:rPr>
          <w:b/>
          <w:i/>
        </w:rPr>
        <w:t>Would a court in China, applying Chinese law, enforce the said Early Termination and Early Termination Payment provisions of the Master Agreement and GTCs (including, but not limited to, the set-off provisions thereof) against a Local Counterparty after a Bankruptcy Proceeding has occurred to that Local Counterparty?  You may assume that ECI was not able to (or was able, but failed to) early terminate the Master Agreement or GTCs (and hence the underlying Transactions) before the Bankruptcy Proceeding</w:t>
      </w:r>
      <w:r>
        <w:rPr/>
        <w:t>.</w:t>
      </w:r>
    </w:p>
    <w:p>
      <w:pPr>
        <w:pStyle w:val="BodyText2"/>
        <w:rPr/>
      </w:pPr>
      <w:r>
        <w:rPr/>
        <w:t xml:space="preserve">Under Chinese law, in the event of bankruptcy of a contract party, the other contract party should be able to exercise its right of termination and right to accelerate its claim against the bankruptcy party.  This is in fact what happened in the </w:t>
      </w:r>
      <w:r>
        <w:rPr>
          <w:caps/>
        </w:rPr>
        <w:t>Gitic</w:t>
      </w:r>
      <w:r>
        <w:rPr/>
        <w:t xml:space="preserve"> bankruptcy.  </w:t>
      </w:r>
    </w:p>
    <w:p>
      <w:pPr>
        <w:pStyle w:val="BodyText2"/>
        <w:rPr/>
      </w:pPr>
      <w:r>
        <w:rPr/>
        <w:t>With respect to the Early Termination Payment provisions, assuming that ECI can terminate the Master Agreement and the relevant Transactions before the bankruptcy of the Local Counterparty, ECI would be required to file its accelerated claim under the Early Termination Payment provisions with the liquidation committee of the Local Counterparty for verification.  If such claim is verified and accepted by the liquidation committee, ECI will be entitled to participate in any distribution of the assets of the Local Counterparty on the same basis as other unsecured creditors.  In this sense, the Early Termination Payment provisions are enforceable although no immediate payment will be made by the liquidation committee in respect of such claim as this would constitute preferential treatment in contravention of Article 12 of the Bankruptcy Law.</w:t>
      </w:r>
    </w:p>
    <w:p>
      <w:pPr>
        <w:pStyle w:val="BodyText2"/>
        <w:rPr/>
      </w:pPr>
      <w:r>
        <w:rPr/>
        <w:t>In respect of the rights of set off, Article 33 of the Bankruptcy Law provides that creditors of a bankrupt enterprise may set off their debts owed to the enterprise prior to the "commencement of bankruptcy liquidation".  The Bankruptcy Law does not specify what the "commencement of bankruptcy liquidation" means although we believe this refers to the time at which the People's Court declares that the enterprise is bankrupt.  ECI should, therefore, be entitled to set off its debts owed to the Local Counterparty up to the declaration of bankruptcy but (by inference) not afterwards.</w:t>
      </w:r>
    </w:p>
    <w:p>
      <w:pPr>
        <w:pStyle w:val="Heading4"/>
        <w:ind w:hanging="0" w:start="0"/>
        <w:rPr>
          <w:b/>
          <w:i/>
          <w:i/>
        </w:rPr>
      </w:pPr>
      <w:r>
        <w:rPr>
          <w:b/>
          <w:i/>
        </w:rPr>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w:t>
      </w:r>
      <w:r>
        <w:rPr/>
        <w:t>.</w:t>
      </w:r>
      <w:r>
        <w:rPr>
          <w:b/>
          <w:i/>
        </w:rPr>
        <w:t>e</w:t>
      </w:r>
      <w:r>
        <w:rPr/>
        <w:t>.</w:t>
      </w:r>
      <w:r>
        <w:rPr>
          <w:b/>
          <w:i/>
        </w:rPr>
        <w:t>, is "cherry-picking" permitted)?</w:t>
      </w:r>
    </w:p>
    <w:p>
      <w:pPr>
        <w:pStyle w:val="BodyText2"/>
        <w:rPr/>
      </w:pPr>
      <w:r>
        <w:rPr/>
        <w:t>Under Chinese law, after an enterprise is declared bankrupt, the People's Court is required to appoint a liquidation committee to represent the enterprise in subsequent proceedings.  Article 26 of the Bankruptcy Law provides that the liquidation committee may decide either to implement or terminate the existing contracts of the enterprise.  Therefore, if ECI could not terminate the Master Agreement/GTCs on the basis of the bankruptcy of the Local Counterparty, the liquidation committee of the Local Counterparty is entitled to elect to terminate transactions which are in favour of ECI but enforce those in favour of the Local Counterparty.</w:t>
      </w:r>
    </w:p>
    <w:p>
      <w:pPr>
        <w:pStyle w:val="BodyText2"/>
        <w:rPr/>
      </w:pPr>
      <w:r>
        <w:rPr/>
        <w:t>However, where the liquidation committee of Local Counterparty decides to terminate a contract and causes losses to ECI, the latter may be entitled to submit the amount of damages as a claim against the bankrupt estate in accordance with Article 26 of the Bankruptcy Law.</w:t>
      </w:r>
    </w:p>
    <w:p>
      <w:pPr>
        <w:pStyle w:val="BodyText2"/>
        <w:rPr/>
      </w:pPr>
      <w:r>
        <w:rPr/>
        <w:t>Article 46 of the Enterprise Bankruptcy Opinion further provides that the liquidation committee is subject to the control of the People's Court and a creditor may apply to the People's Court for a review of the decision of the liquidation committee.  Therefore, it may be possible for ECI to apply to the People's Court to review the decision of the liquidation committee.  However, unless the action of the liquidation committee is illegal or somehow prejudices the interests of the creditors as a whole, it is unlikely that the court will intervene in relation to a decision of the liquidation committee.</w:t>
      </w:r>
    </w:p>
    <w:p>
      <w:pPr>
        <w:pStyle w:val="Heading4"/>
        <w:ind w:hanging="698" w:start="1418" w:end="0"/>
        <w:rPr>
          <w:b/>
          <w:i/>
          <w:i/>
        </w:rPr>
      </w:pPr>
      <w:r>
        <w:rPr>
          <w:b/>
          <w:i/>
        </w:rPr>
        <w:t>On the assumption that the Local Counterparty entering into Transactions with ECI was either (i) incorporated in China but had a branch or other form of presence outside of China in another jurisdiction, or (ii) was incorporated outside of China but had a branch or other form of presence in China, and the Local Counterparty became subject to a Bankruptcy Proceeding, then, in either case (i) or (ii), and in the event that an insolvency official was appointed both to the Local Counterparty in The People's Republic of China and to its presence in the jurisdiction outside of China:</w:t>
      </w:r>
    </w:p>
    <w:p>
      <w:pPr>
        <w:pStyle w:val="BodyText"/>
        <w:tabs>
          <w:tab w:val="clear" w:pos="720"/>
          <w:tab w:val="left" w:pos="993" w:leader="none"/>
        </w:tabs>
        <w:ind w:hanging="698" w:start="1418" w:end="0"/>
        <w:rPr/>
      </w:pPr>
      <w:r>
        <w:rPr/>
        <w:t>(e)</w:t>
        <w:tab/>
        <w:t>(i)</w:t>
        <w:tab/>
      </w:r>
      <w:r>
        <w:rPr>
          <w:b/>
          <w:i/>
        </w:rPr>
        <w:t>Would your answers to any of Section 1E(c) to (d), inclusive, above change in any manner?</w:t>
      </w:r>
    </w:p>
    <w:p>
      <w:pPr>
        <w:pStyle w:val="BodyText2"/>
        <w:rPr/>
      </w:pPr>
      <w:r>
        <w:rPr/>
        <w:t>In case (i), the answers would depend on whether the branch or overseas presence of the Local Counterparty enjoys independent legal person status.  If it has independent legal person status, the bankruptcy of such branch or overseas presence will normally be governed by the law of its country of incorporation, while the bankruptcy of the Local Counterparty in China will be governed by Chinese law.  In such a case, the Chinese court will exercise its bankruptcy jurisdiction in respect of the Local Counterparty independently of any parallel bankruptcy proceedings of the branch or overseas presence conducted in another jurisdiction.  Therefore, our answers to Sections 1(E)(c) to (d) will not change.</w:t>
      </w:r>
    </w:p>
    <w:p>
      <w:pPr>
        <w:pStyle w:val="BodyText2"/>
        <w:rPr/>
      </w:pPr>
      <w:r>
        <w:rPr/>
        <w:t>However, if the branch or overseas presence of the Local Counterparty does not have independent legal person status, the bankruptcy of the Local Counterparty will be governed entirely by Chinese law.  In such an event, whether the liquidation committee can implement or enforce the bankruptcy order of the Chinese court against the assets of the branch or overseas presence will depend on whether there is any judicial assistance treaty between China and the relevant foreign country for reciprocal enforcement of court orders.  As far as we are aware, China has entered into judicial assistance treaties with more than 20 countries, including many Ex-soviet countries as well as France, Belgium, Italy, Spain and Greece.  However, we are not aware of any judicial assistance arrangement between China and other Western jurisdictions, such as the United States or England.</w:t>
      </w:r>
    </w:p>
    <w:p>
      <w:pPr>
        <w:pStyle w:val="BodyText2"/>
        <w:rPr/>
      </w:pPr>
      <w:r>
        <w:rPr/>
        <w:t xml:space="preserve">In case (ii), our answers to each of Sections 1(E)(c) to (d) will not change if the branch or presence of the Local Counterparty in China has independent legal person status under Chinese law.  Again, the bankruptcy of the branch or presence of the Local Counterparty in China will be governed by the Chinese law independently of any parallel bankruptcy proceedings of Local Counterparty conducted in another jurisdiction. </w:t>
      </w:r>
    </w:p>
    <w:p>
      <w:pPr>
        <w:pStyle w:val="BodyText2"/>
        <w:rPr/>
      </w:pPr>
      <w:r>
        <w:rPr/>
        <w:t>However, if the branch or presence of the Local Counterparty in China does not have independent legal person status, whether a liquidator of the Local Counterparty can implement or enforce the bankruptcy order of a foreign court against the assets of the branch or presence of the Local Counterparty in China, will depend on whether there is any judicial assistance arrangement between China and the relevant foreign country (see above).  In this connection, it is worth noting the Hong Kong liquidators of a GITIC subsidiary incorporated in Hong Kong have so far been accorded recognition by the Chinese authorities.</w:t>
      </w:r>
    </w:p>
    <w:p>
      <w:pPr>
        <w:pStyle w:val="BodyText"/>
        <w:tabs>
          <w:tab w:val="clear" w:pos="720"/>
          <w:tab w:val="left" w:pos="993" w:leader="none"/>
        </w:tabs>
        <w:ind w:hanging="698" w:start="1418" w:end="0"/>
        <w:rPr/>
      </w:pPr>
      <w:r>
        <w:rPr/>
        <w:t>(e)</w:t>
        <w:tab/>
        <w:t>(ii)</w:t>
        <w:tab/>
      </w:r>
      <w:r>
        <w:rPr>
          <w:b/>
          <w:i/>
        </w:rPr>
        <w:t>Does China have any bankruptcy treaties with any other countries and what is the effect of such treaties?</w:t>
      </w:r>
    </w:p>
    <w:p>
      <w:pPr>
        <w:pStyle w:val="BodyText2"/>
        <w:rPr/>
      </w:pPr>
      <w:r>
        <w:rPr/>
        <w:t>Please see our comments in paragraph (e)(i) above.</w:t>
      </w:r>
    </w:p>
    <w:p>
      <w:pPr>
        <w:pStyle w:val="BodyText"/>
        <w:keepNext w:val="true"/>
        <w:tabs>
          <w:tab w:val="clear" w:pos="720"/>
          <w:tab w:val="left" w:pos="993" w:leader="none"/>
        </w:tabs>
        <w:ind w:hanging="697" w:start="1417" w:end="0"/>
        <w:rPr/>
      </w:pPr>
      <w:r>
        <w:rPr/>
        <w:t>(e)</w:t>
        <w:tab/>
        <w:t>(iii)</w:t>
        <w:tab/>
      </w:r>
      <w:r>
        <w:rPr>
          <w:b/>
          <w:i/>
        </w:rPr>
        <w:t>Would the insolvency of the Local Counterparty in China proceed without deference to, or being impacted in any manner by, any insolvency proceedings in any jurisdiction outside of China where the Local Counterparty also had a presence?</w:t>
      </w:r>
    </w:p>
    <w:p>
      <w:pPr>
        <w:pStyle w:val="BodyText2"/>
        <w:rPr/>
      </w:pPr>
      <w:r>
        <w:rPr/>
        <w:t>Please see our comments in paragraph (e)(i) above.</w:t>
      </w:r>
    </w:p>
    <w:p>
      <w:pPr>
        <w:pStyle w:val="Heading2"/>
        <w:ind w:hanging="0" w:start="0"/>
        <w:rPr/>
      </w:pPr>
      <w:bookmarkStart w:id="22" w:name="__RefHeading___Toc470337128"/>
      <w:bookmarkEnd w:id="22"/>
      <w:r>
        <w:rPr/>
        <w:t xml:space="preserve">Section 1F:  </w:t>
        <w:tab/>
        <w:t>Liquidated Damages Provisions</w:t>
      </w:r>
    </w:p>
    <w:p>
      <w:pPr>
        <w:pStyle w:val="BodyText"/>
        <w:rPr/>
      </w:pPr>
      <w:r>
        <w:rPr>
          <w:b/>
          <w:i/>
        </w:rPr>
        <w:t>If suit were brought in China by ECI to enforce the Liquidated Damages provisions of Section 3</w:t>
      </w:r>
      <w:r>
        <w:rPr/>
        <w:t>.</w:t>
      </w:r>
      <w:r>
        <w:rPr>
          <w:b/>
          <w:i/>
        </w:rPr>
        <w:t>5 of the Master Agreement/GTCs against the Local Counterparty, and the court in China applied the laws of China (either because the court did not enforce the choice of foreign law or because the parties elected for the laws of China to govern the Transactions) would those Liquidated Damages provisions be enforceable in all respects against the Local Counterparty?  Or would the court in China view such provisions as being unenforceable for being, for example, a penalty?</w:t>
      </w:r>
    </w:p>
    <w:p>
      <w:pPr>
        <w:pStyle w:val="BodyText"/>
        <w:rPr/>
      </w:pPr>
      <w:r>
        <w:rPr/>
        <w:t>The enforceability of the liquidated damages provisions will depend on whether they depart significantly from the actual loss incurred.  If the damages payable grossly exceed the actual loss incurred, the Local Counterparty will be entitled to request that the court or arbitration body reduce the amount payable.</w:t>
      </w:r>
    </w:p>
    <w:p>
      <w:pPr>
        <w:pStyle w:val="BodyText"/>
        <w:rPr/>
      </w:pPr>
      <w:r>
        <w:rPr/>
        <w:t>Our conclusion is based on the PRC Contract Law</w:t>
      </w:r>
      <w:r>
        <w:rPr>
          <w:i/>
        </w:rPr>
        <w:t xml:space="preserve"> </w:t>
      </w:r>
      <w:r>
        <w:rPr/>
        <w:t>which provides that the parties to a contract may stipulate the payment of a specified sum by way of liquidated damages for breach of contract, or specify the method for calculating the damages payable upon breach of the contract.</w:t>
      </w:r>
      <w:r>
        <w:rPr>
          <w:rStyle w:val="FootnoteCharacters"/>
          <w:rStyle w:val="FootnoteReference"/>
        </w:rPr>
        <w:footnoteReference w:id="37"/>
      </w:r>
      <w:r>
        <w:rPr/>
        <w:t xml:space="preserve">  However, if the liquidated damages are lower or </w:t>
      </w:r>
      <w:r>
        <w:rPr>
          <w:i/>
        </w:rPr>
        <w:t>excessively</w:t>
      </w:r>
      <w:r>
        <w:rPr/>
        <w:t xml:space="preserve"> higher than the actual loss incurred, a party may apply to the court or arbitration tribunal for an appropriate adjustment.</w:t>
      </w:r>
    </w:p>
    <w:p>
      <w:pPr>
        <w:pStyle w:val="Heading2"/>
        <w:keepNext w:val="true"/>
        <w:ind w:hanging="0" w:start="0"/>
        <w:rPr/>
      </w:pPr>
      <w:bookmarkStart w:id="23" w:name="__RefHeading___Toc470337129"/>
      <w:bookmarkEnd w:id="23"/>
      <w:r>
        <w:rPr/>
        <w:t>Section 1G:</w:t>
        <w:tab/>
        <w:t>Foreign Exchange Controls and Usury</w:t>
      </w:r>
    </w:p>
    <w:p>
      <w:pPr>
        <w:pStyle w:val="Heading4"/>
        <w:ind w:hanging="0" w:start="0"/>
        <w:rPr/>
      </w:pPr>
      <w:r>
        <w:rPr>
          <w:b/>
          <w:i/>
        </w:rPr>
        <w:t>Transactions may require that payments be made in non-local currencies (e</w:t>
      </w:r>
      <w:r>
        <w:rPr/>
        <w:t>.</w:t>
      </w:r>
      <w:r>
        <w:rPr>
          <w:b/>
          <w:i/>
        </w:rPr>
        <w:t>g</w:t>
      </w:r>
      <w:r>
        <w:rPr/>
        <w:t>.</w:t>
      </w:r>
      <w:r>
        <w:rPr>
          <w:b/>
          <w:i/>
        </w:rPr>
        <w:t xml:space="preserve"> United States Dollars) and delivered into China or a foreign jurisdiction</w:t>
      </w:r>
      <w:r>
        <w:rPr/>
        <w:t>.</w:t>
      </w:r>
      <w:r>
        <w:rPr>
          <w:b/>
          <w:i/>
        </w:rPr>
        <w:t xml:space="preserve">  To what extent are central bank approval or other foreign exchange controls in China applicable to payments made by either ECI or Local Counterparty to the other in respect of the Transactions?</w:t>
      </w:r>
    </w:p>
    <w:p>
      <w:pPr>
        <w:pStyle w:val="BodyText2"/>
        <w:rPr/>
      </w:pPr>
      <w:r>
        <w:rPr/>
        <w:t>China's foreign exchange legislation distinguishes between foreign exchange "current account" and "capital account" items (where current account items are generally recurrent, trade-related items and capital account items are items which lead to an increase or decrease in debt or equity due to the inflow or outflow of capital such as loans or direct investment).  One of the main differences in the treatment of current account and capital account items under the foreign exchange regime is on convertibility.  The procedures required to buy foreign exchange to pay for a current account item, or to withdraw foreign currency from a foreign exchange bank account to pay a current account item, is fairly straightforward.  In most cases, the payment decision is made by the designated foreign exchange bank based on the presentation of valid supporting documents and commercial vouchers or contracts presented by the account holders. In contrast, the convertibility of foreign exchange and Renminbi for capital account items is more severally restricted and subject to a substantive and discretionary review by the foreign exchange regulatory body, the State Administration of Foreign Exchange (</w:t>
      </w:r>
      <w:r>
        <w:rPr>
          <w:b/>
        </w:rPr>
        <w:t>SAFE</w:t>
      </w:r>
      <w:r>
        <w:rPr/>
        <w:t>).</w:t>
      </w:r>
    </w:p>
    <w:p>
      <w:pPr>
        <w:pStyle w:val="BodyText2"/>
        <w:rPr/>
      </w:pPr>
      <w:r>
        <w:rPr/>
        <w:t>In our view, the Transactions would be likely to be categorised as current account items.  As such, provided the Local Counterparty is authorised to engage in foreign trade and enter into the Transactions, the conversion of Renminbi by the Local Counterparty to pay for or is receipt of foreign exchange upon the sale of Bandwidth to ECI should be fairly straightforward provided that it presents to the bank the supporting documentation relating to the Transactions.</w:t>
      </w:r>
    </w:p>
    <w:p>
      <w:pPr>
        <w:pStyle w:val="BodyText"/>
        <w:tabs>
          <w:tab w:val="clear" w:pos="720"/>
          <w:tab w:val="left" w:pos="993" w:leader="none"/>
        </w:tabs>
        <w:ind w:hanging="698" w:start="1418" w:end="0"/>
        <w:rPr/>
      </w:pPr>
      <w:r>
        <w:rPr/>
        <w:t>(b)</w:t>
        <w:tab/>
        <w:t>(i)</w:t>
        <w:tab/>
      </w:r>
      <w:r>
        <w:rPr>
          <w:b/>
          <w:i/>
        </w:rPr>
        <w:t>Are there any usury laws in China which may apply to the Transactions and, to the extent that usury laws apply, what are the rate restrictions?</w:t>
      </w:r>
    </w:p>
    <w:p>
      <w:pPr>
        <w:pStyle w:val="BodyText2"/>
        <w:rPr/>
      </w:pPr>
      <w:r>
        <w:rPr/>
        <w:t xml:space="preserve">Although we are aware of a number of regulations which restrict the rate of interest which may be charged for loans made by financial institutions or on bonds issued by Chinese enterprise, we do not believe these are applicable to the Transactions.  </w:t>
      </w:r>
    </w:p>
    <w:p>
      <w:pPr>
        <w:pStyle w:val="BodyText"/>
        <w:rPr/>
      </w:pPr>
      <w:r>
        <w:rPr/>
        <w:t>(b)(ii)</w:t>
        <w:tab/>
      </w:r>
      <w:r>
        <w:rPr>
          <w:b/>
          <w:i/>
        </w:rPr>
        <w:t xml:space="preserve">Are there any available exemptions?  </w:t>
      </w:r>
    </w:p>
    <w:p>
      <w:pPr>
        <w:pStyle w:val="BodyText2"/>
        <w:rPr/>
      </w:pPr>
      <w:r>
        <w:rPr/>
        <w:t>The People's Bank of China may grant exemptions to financial institutions to deviate from the prescribed interest rates. However, the exemptions granted are usually limited to policy loans or to banks or financial institutions in designated localities.  We do not believe these regulations are applicable to the Transactions.</w:t>
      </w:r>
    </w:p>
    <w:p>
      <w:pPr>
        <w:pStyle w:val="BodyText"/>
        <w:keepNext w:val="true"/>
        <w:ind w:hanging="720" w:start="1440" w:end="0"/>
        <w:rPr/>
      </w:pPr>
      <w:r>
        <w:rPr/>
        <w:t>(b)(iii)</w:t>
        <w:tab/>
      </w:r>
      <w:r>
        <w:rPr>
          <w:b/>
          <w:i/>
        </w:rPr>
        <w:t>If no exemptions exist, what are the consequences as to enforceability and penalties?</w:t>
      </w:r>
    </w:p>
    <w:p>
      <w:pPr>
        <w:pStyle w:val="BodyText2"/>
        <w:keepNext w:val="true"/>
        <w:rPr/>
      </w:pPr>
      <w:r>
        <w:rPr/>
        <w:t>Banks and financial institutions which fail to comply with the interest rate policy issued by the People's Bank of China may be subject to a range of administrative penalties from the imposition of a fine to the revocation of business license.  In addition, interest payments which exceed the prescribed limits will not be recoverable.  Entities which engage in usury business may also be subject to criminal liabilities in serious cases.  We do not believe these regulations are applicable to the Transactions.</w:t>
      </w:r>
    </w:p>
    <w:p>
      <w:pPr>
        <w:pStyle w:val="Heading2"/>
        <w:keepNext w:val="true"/>
        <w:ind w:hanging="0" w:start="0"/>
        <w:rPr/>
      </w:pPr>
      <w:bookmarkStart w:id="24" w:name="__RefHeading___Toc470337130"/>
      <w:bookmarkEnd w:id="24"/>
      <w:r>
        <w:rPr/>
        <w:t xml:space="preserve">Section 1H:  </w:t>
        <w:tab/>
        <w:t>Taxation</w:t>
      </w:r>
    </w:p>
    <w:p>
      <w:pPr>
        <w:pStyle w:val="BodyText"/>
        <w:rPr>
          <w:b/>
          <w:i/>
          <w:i/>
        </w:rPr>
      </w:pPr>
      <w:r>
        <w:rPr>
          <w:b/>
          <w:i/>
        </w:rPr>
        <w:t>In respect of a Transaction, are there any taxes, duties or levies in China which would be imposed upon, and payable by, either the buyer or the seller under such Transaction (e</w:t>
      </w:r>
      <w:r>
        <w:rPr/>
        <w:t>.</w:t>
      </w:r>
      <w:r>
        <w:rPr>
          <w:b/>
          <w:i/>
        </w:rPr>
        <w:t>g</w:t>
      </w:r>
      <w:r>
        <w:rPr/>
        <w:t>.</w:t>
      </w:r>
      <w:r>
        <w:rPr>
          <w:b/>
          <w:i/>
        </w:rPr>
        <w:t>, any sales or transactional taxes)?  Please answer this question from the alternative perspectives that either or both of ECI and the Local Counterparty is either (a) not incorporated in, nor has a branch or establishment in China or (b) is incorporated in, or has a branch or establishment in China</w:t>
      </w:r>
      <w:r>
        <w:rPr/>
        <w:t>.</w:t>
      </w:r>
    </w:p>
    <w:p>
      <w:pPr>
        <w:pStyle w:val="BodyText"/>
        <w:rPr/>
      </w:pPr>
      <w:r>
        <w:rPr/>
        <w:t>The Chinese tax implications of a Transaction are analysed under each of the six scenarios below.  In each scenario, we have considered the situation where there is a party (the "</w:t>
      </w:r>
      <w:r>
        <w:rPr>
          <w:b/>
        </w:rPr>
        <w:t>Seller</w:t>
      </w:r>
      <w:r>
        <w:rPr/>
        <w:t>") which sells Bandwidth to ECI (the "first leg" of the transaction), and there is another party (the "</w:t>
      </w:r>
      <w:r>
        <w:rPr>
          <w:b/>
        </w:rPr>
        <w:t>Buyer</w:t>
      </w:r>
      <w:r>
        <w:rPr/>
        <w:t xml:space="preserve">") to whom ECI will on-sell the Bandwidth (the "second leg" of the transaction).  The Local Counterparty may be either the Seller or the Buyer) in these sections: </w:t>
      </w:r>
    </w:p>
    <w:p>
      <w:pPr>
        <w:pStyle w:val="BodyText"/>
        <w:numPr>
          <w:ilvl w:val="0"/>
          <w:numId w:val="11"/>
        </w:numPr>
        <w:tabs>
          <w:tab w:val="clear" w:pos="720"/>
        </w:tabs>
        <w:ind w:hanging="698" w:start="1418" w:end="0"/>
        <w:rPr/>
      </w:pPr>
      <w:r>
        <w:rPr/>
        <w:t>Where none of the Seller, Buyer or ECI has a permanent establishment (a  "</w:t>
      </w:r>
      <w:r>
        <w:rPr>
          <w:b/>
        </w:rPr>
        <w:t>PE</w:t>
      </w:r>
      <w:r>
        <w:rPr/>
        <w:t xml:space="preserve">") in China, it is unlikely that the Transactions would attract PRC tax. </w:t>
      </w:r>
    </w:p>
    <w:p>
      <w:pPr>
        <w:pStyle w:val="BodyText"/>
        <w:numPr>
          <w:ilvl w:val="0"/>
          <w:numId w:val="11"/>
        </w:numPr>
        <w:tabs>
          <w:tab w:val="clear" w:pos="720"/>
        </w:tabs>
        <w:ind w:hanging="698" w:start="1418" w:end="0"/>
        <w:rPr/>
      </w:pPr>
      <w:r>
        <w:rPr/>
        <w:t xml:space="preserve">Where the Seller, Buyer and ECI have a PE in one form or another, the profits deriving from both legs of a Transaction (i.e. the selling of bandwidth from the Seller to ECI and the buying of Bandwidth by the Buyer from ECI) will be subject to PRC income tax. </w:t>
      </w:r>
    </w:p>
    <w:p>
      <w:pPr>
        <w:pStyle w:val="Normal"/>
        <w:ind w:start="1418" w:end="0"/>
        <w:rPr/>
      </w:pPr>
      <w:r>
        <w:rPr/>
        <w:t>In addition it is possible that the supply of Bandwidth will be regarded as a provision of services under the Business Tax Provisional Regulation</w:t>
      </w:r>
      <w:r>
        <w:rPr>
          <w:rStyle w:val="FootnoteCharacters"/>
          <w:rStyle w:val="FootnoteReference"/>
          <w:i/>
        </w:rPr>
        <w:footnoteReference w:id="38"/>
      </w:r>
      <w:r>
        <w:rPr>
          <w:i/>
        </w:rPr>
        <w:t xml:space="preserve"> </w:t>
      </w:r>
      <w:r>
        <w:rPr/>
        <w:t>which is further elaborated by Tax Circular GSF</w:t>
      </w:r>
      <w:r>
        <w:rPr>
          <w:i/>
        </w:rPr>
        <w:t xml:space="preserve"> </w:t>
      </w:r>
      <w:r>
        <w:rPr/>
        <w:t>[</w:t>
      </w:r>
      <w:r>
        <w:rPr>
          <w:b/>
        </w:rPr>
        <w:t>1993</w:t>
      </w:r>
      <w:r>
        <w:rPr/>
        <w:t>] No.194.</w:t>
      </w:r>
      <w:r>
        <w:rPr>
          <w:rStyle w:val="FootnoteCharacters"/>
          <w:rStyle w:val="FootnoteReference"/>
        </w:rPr>
        <w:footnoteReference w:id="39"/>
      </w:r>
      <w:r>
        <w:rPr/>
        <w:t xml:space="preserve"> The Seller will pay business tax on the first leg of the transaction; ECI will pay business tax on the second leg of the transaction.</w:t>
      </w:r>
    </w:p>
    <w:p>
      <w:pPr>
        <w:pStyle w:val="BodyText"/>
        <w:numPr>
          <w:ilvl w:val="0"/>
          <w:numId w:val="11"/>
        </w:numPr>
        <w:tabs>
          <w:tab w:val="clear" w:pos="720"/>
        </w:tabs>
        <w:ind w:hanging="698" w:start="1418" w:end="0"/>
        <w:rPr/>
      </w:pPr>
      <w:r>
        <w:rPr/>
        <w:t>Where the Seller has a PE in China but ECI does not, income tax will be paid by the Seller on profits deriving from the Transaction.  It is uncertain whether the sale of Bandwidth to a foreign party (i.e. ECI) without a PE in China can be treated as a provision of services in China subject to business tax.  Based on our interpretation of the business tax law and regulations it is unlikely that business tax will be levied on this leg of the transaction.</w:t>
      </w:r>
    </w:p>
    <w:p>
      <w:pPr>
        <w:pStyle w:val="BodyText"/>
        <w:numPr>
          <w:ilvl w:val="0"/>
          <w:numId w:val="11"/>
        </w:numPr>
        <w:tabs>
          <w:tab w:val="clear" w:pos="720"/>
        </w:tabs>
        <w:ind w:hanging="698" w:start="1418" w:end="0"/>
        <w:rPr/>
      </w:pPr>
      <w:r>
        <w:rPr/>
        <w:t>Where the Seller does not have a PE in China but ECI does, it is unlikely that the Seller or ECI (as recipient of the services) will be subject to PRC income tax.  However, there may be a risk that business tax will be levied (through withholding by ECI) since the recipient of the services, ECI, is located in China.</w:t>
      </w:r>
    </w:p>
    <w:p>
      <w:pPr>
        <w:pStyle w:val="BodyText"/>
        <w:numPr>
          <w:ilvl w:val="0"/>
          <w:numId w:val="11"/>
        </w:numPr>
        <w:tabs>
          <w:tab w:val="clear" w:pos="720"/>
        </w:tabs>
        <w:ind w:hanging="698" w:start="1418" w:end="0"/>
        <w:rPr/>
      </w:pPr>
      <w:r>
        <w:rPr/>
        <w:t>Where the Buyer has a PE in China and ECI does not, ECI is unlikely to be subject to PRC income tax.  There is a risk that business tax will be levied (through withholding by Buyer) since the recipient of the services, the Buyer, is located in China.</w:t>
      </w:r>
    </w:p>
    <w:p>
      <w:pPr>
        <w:pStyle w:val="BodyText"/>
        <w:numPr>
          <w:ilvl w:val="0"/>
          <w:numId w:val="11"/>
        </w:numPr>
        <w:tabs>
          <w:tab w:val="clear" w:pos="720"/>
        </w:tabs>
        <w:ind w:hanging="698" w:start="1418" w:end="0"/>
        <w:rPr/>
      </w:pPr>
      <w:r>
        <w:rPr/>
        <w:t>Where the Buyer does not have a PE in China but ECI does,  ECI will be subject to PRC income tax on profits derived from the Transaction. It is uncertain whether a sale of Bandwidth to a foreign company without a PE in China can be treated as a provision of services in China subject to business tax.  Based on our interpretation of the business tax law and regulations it is unlikely that business tax will be levied on this leg of the transaction.</w:t>
      </w:r>
    </w:p>
    <w:p>
      <w:pPr>
        <w:pStyle w:val="Heading2"/>
        <w:keepNext w:val="true"/>
        <w:ind w:hanging="0" w:start="0"/>
        <w:rPr/>
      </w:pPr>
      <w:bookmarkStart w:id="25" w:name="__RefHeading___Toc470337131"/>
      <w:bookmarkEnd w:id="25"/>
      <w:r>
        <w:rPr/>
        <w:t>Section 1I:</w:t>
        <w:tab/>
        <w:t>Miscellaneous</w:t>
      </w:r>
    </w:p>
    <w:p>
      <w:pPr>
        <w:pStyle w:val="Heading4"/>
        <w:ind w:hanging="0" w:start="0"/>
        <w:rPr>
          <w:b/>
          <w:i/>
          <w:i/>
        </w:rPr>
      </w:pPr>
      <w:r>
        <w:rPr>
          <w:b/>
          <w:i/>
        </w:rPr>
        <w:t>Are there any restrictions under local law in China that would apply to ECI's marketing or solicitation efforts with respect to these Transactions?  If so, briefly describe</w:t>
      </w:r>
      <w:r>
        <w:rPr/>
        <w:t>.</w:t>
      </w:r>
    </w:p>
    <w:p>
      <w:pPr>
        <w:pStyle w:val="BodyText2"/>
        <w:rPr/>
      </w:pPr>
      <w:r>
        <w:rPr/>
        <w:t xml:space="preserve">Assuming that the Transactions are permitted in China, ECI may have its personnel on the ground in China for temporary periods to promote its activities (but see Section 1A(d)(ii) on potential tax implications if personnel remain in China for extended periods or engage in contract negotiations).  If ECI wishes to have a more permanent presence in China, it can establish a representative office.  A representative office is only entitled to engage in non profit-making, liaison activities.  It is not entitled to negotiate or conclude contracts on behalf of its head office.  Under China's current foreign investment regime, it is unlikely that ECI would be permitted to establish either a branch or a company to engage purely in marketing activities.  </w:t>
      </w:r>
    </w:p>
    <w:p>
      <w:pPr>
        <w:pStyle w:val="BodyText2"/>
        <w:rPr/>
      </w:pPr>
      <w:r>
        <w:rPr/>
        <w:t>Please also see Section 1C(b)(ii) on the regulations governing the contents of any marketing or advertising activities in China.</w:t>
      </w:r>
    </w:p>
    <w:p>
      <w:pPr>
        <w:pStyle w:val="Heading4"/>
        <w:keepNext w:val="true"/>
        <w:ind w:hanging="0" w:start="0"/>
        <w:rPr>
          <w:b/>
          <w:i/>
          <w:i/>
        </w:rPr>
      </w:pPr>
      <w:r>
        <w:rPr>
          <w:b/>
          <w:i/>
        </w:rPr>
        <w:t>Would any consumer protection laws apply to the Transactions even though ECI will not be dealing with private individuals in China?</w:t>
      </w:r>
    </w:p>
    <w:p>
      <w:pPr>
        <w:pStyle w:val="BodyText2"/>
        <w:keepNext w:val="true"/>
        <w:rPr/>
      </w:pPr>
      <w:r>
        <w:rPr/>
        <w:t>The Consumer Protection Law</w:t>
      </w:r>
      <w:r>
        <w:rPr>
          <w:i/>
        </w:rPr>
        <w:t xml:space="preserve"> </w:t>
      </w:r>
      <w:r>
        <w:rPr/>
        <w:t>applies to products or services purchased by consumers in order to meet their "daily needs".</w:t>
      </w:r>
      <w:r>
        <w:rPr>
          <w:rStyle w:val="FootnoteCharacters"/>
          <w:rStyle w:val="FootnoteReference"/>
        </w:rPr>
        <w:footnoteReference w:id="40"/>
      </w:r>
      <w:r>
        <w:rPr/>
        <w:t xml:space="preserve">  Although no specific definition of the term "consumer" is given, it appears unlikely that the law will apply to a business entity purchasing Bandwidth as in the case of the Local Counterparty.  The Product Quality Law</w:t>
      </w:r>
      <w:r>
        <w:rPr>
          <w:rStyle w:val="FootnoteCharacters"/>
          <w:rStyle w:val="FootnoteReference"/>
          <w:i/>
        </w:rPr>
        <w:footnoteReference w:id="41"/>
      </w:r>
      <w:r>
        <w:rPr>
          <w:i/>
        </w:rPr>
        <w:t xml:space="preserve"> </w:t>
      </w:r>
      <w:r>
        <w:rPr/>
        <w:t>applies to the production or sale of products in China and provides that the Seller shall be liable for any defaults caused by the Seller's fault which leads to damage to property.  Products are defined in the Product Quality Law as products which are processed or manufactured for sale.  The Product Quality Law will therefore only apply to the Transactions if the sale and purchase of Bandwidth is regarded as the sale of "a product" rather than the provision of services.  Apart from the Consumer Protection Law and Product Quality Law, there are other national laws and regulations which provide more generally that a person may sue for injury caused by the use of a product.</w:t>
      </w:r>
    </w:p>
    <w:p>
      <w:pPr>
        <w:pStyle w:val="Heading4"/>
        <w:ind w:hanging="0" w:start="0"/>
        <w:rPr>
          <w:b/>
          <w:i/>
          <w:i/>
        </w:rPr>
      </w:pPr>
      <w:r>
        <w:rPr>
          <w:b/>
          <w:i/>
        </w:rPr>
        <w:t>Are there any other legal or regulatory issues under laws or regulations in China relating to the Transactions and/or the Master Agreement and/or the GTCs of which ECI should be made aware?</w:t>
      </w:r>
    </w:p>
    <w:p>
      <w:pPr>
        <w:sectPr>
          <w:headerReference w:type="default" r:id="rId8"/>
          <w:headerReference w:type="first" r:id="rId9"/>
          <w:footerReference w:type="default" r:id="rId10"/>
          <w:footerReference w:type="first" r:id="rId11"/>
          <w:footnotePr>
            <w:numFmt w:val="decimal"/>
          </w:footnotePr>
          <w:type w:val="nextPage"/>
          <w:pgSz w:w="11906" w:h="16838"/>
          <w:pgMar w:left="1701" w:right="1701" w:gutter="0" w:header="720" w:top="1440" w:footer="283" w:bottom="1134"/>
          <w:pgNumType w:start="1" w:fmt="decimal"/>
          <w:formProt w:val="false"/>
          <w:textDirection w:val="lrTb"/>
          <w:docGrid w:type="default" w:linePitch="360" w:charSpace="0"/>
        </w:sectPr>
        <w:pStyle w:val="BodyText2"/>
        <w:rPr/>
      </w:pPr>
      <w:r>
        <w:rPr>
          <w:kern w:val="2"/>
        </w:rPr>
        <w:t>The Anti-Unfair Competition Law</w:t>
      </w:r>
      <w:r>
        <w:rPr>
          <w:rStyle w:val="FootnoteCharacters"/>
          <w:rStyle w:val="FootnoteReference"/>
          <w:kern w:val="2"/>
        </w:rPr>
        <w:footnoteReference w:id="42"/>
      </w:r>
      <w:r>
        <w:rPr>
          <w:kern w:val="2"/>
        </w:rPr>
        <w:t xml:space="preserve"> does prohibit certain types of "improper competition" such as deceptive advertising practices, improper sales promotion activities or the abuse of market power.  The area of competition law remains, however, undeveloped. We are not aware of any other legal issues of particular importance which should be highlighted.</w:t>
      </w:r>
    </w:p>
    <w:p>
      <w:pPr>
        <w:pStyle w:val="Heading1"/>
        <w:ind w:hanging="0" w:start="0"/>
        <w:rPr>
          <w:kern w:val="2"/>
        </w:rPr>
      </w:pPr>
      <w:bookmarkStart w:id="27" w:name="__RefHeading___Toc470337132"/>
      <w:bookmarkEnd w:id="27"/>
      <w:r>
        <w:rPr>
          <w:kern w:val="2"/>
        </w:rPr>
        <w:t>section 2 - TRADING BANDWIDTH WITHOUT ACTUAL PHYSICAL DELIVERY</w:t>
      </w:r>
    </w:p>
    <w:p>
      <w:pPr>
        <w:pStyle w:val="BodyText"/>
        <w:keepNext w:val="true"/>
        <w:rPr>
          <w:b/>
          <w:i/>
          <w:i/>
        </w:rPr>
      </w:pPr>
      <w:r>
        <w:rPr>
          <w:b/>
          <w:i/>
        </w:rPr>
        <w:t>In respect of the ability to close-out Transactions before physical delivery, with the parties merely making financial settlement of balances payable between then, would any of your answers change to the questions raised in paragraphs A to H, inclusive, above of Section 1 (when answering this question please pay particular, but not exclusive, attention to the questions raised in Section 1A)?</w:t>
      </w:r>
    </w:p>
    <w:p>
      <w:pPr>
        <w:pStyle w:val="BodyText"/>
        <w:rPr/>
      </w:pPr>
      <w:r>
        <w:rPr/>
        <w:t>Other than as noted below, our answers to the questions raised in Section 1A to Section 1I would not change.</w:t>
      </w:r>
    </w:p>
    <w:p>
      <w:pPr>
        <w:pStyle w:val="bullet"/>
        <w:numPr>
          <w:ilvl w:val="0"/>
          <w:numId w:val="17"/>
        </w:numPr>
        <w:tabs>
          <w:tab w:val="clear" w:pos="720"/>
        </w:tabs>
        <w:ind w:hanging="414" w:start="1134" w:end="0"/>
        <w:rPr/>
      </w:pPr>
      <w:r>
        <w:rPr>
          <w:b/>
        </w:rPr>
        <w:t>Section 1A(a)</w:t>
      </w:r>
      <w:r>
        <w:rPr/>
        <w:t>: Our response to Section 1A(a) and (b) would not change substantively and we would again recommend MII's views be sought on whether a telecommunications licence would be necessary.  However, it appears more likely in the closed-out scenario that ECI and the Local Counterparty may in fact have no interest or participation in the provision of telecommunications services and, as such, may not require a licence to engage in telecommunications services (although some form of approval or internal consultation with MII may still be necessary before the Local Counterparty would be entitled to engage in the Transactions).</w:t>
      </w:r>
    </w:p>
    <w:p>
      <w:pPr>
        <w:pStyle w:val="bullet"/>
        <w:numPr>
          <w:ilvl w:val="0"/>
          <w:numId w:val="17"/>
        </w:numPr>
        <w:tabs>
          <w:tab w:val="clear" w:pos="720"/>
        </w:tabs>
        <w:ind w:hanging="414" w:start="1134" w:end="0"/>
        <w:rPr/>
      </w:pPr>
      <w:r>
        <w:rPr>
          <w:b/>
        </w:rPr>
        <w:t>Section 1B(a) and (b)</w:t>
      </w:r>
      <w:r>
        <w:rPr/>
        <w:t>:  Our response to Section 1B(a) and (b) does not change.  However, we note that where the Local Counterparty enters into the Transactions for investment or trading purposes (as seems more likely in the closed-out scenario), it would need to be specifically authorised under its business scope to engage in such types of activity (and see below for restrictions on engaging in futures trading).</w:t>
      </w:r>
    </w:p>
    <w:p>
      <w:pPr>
        <w:pStyle w:val="bullet"/>
        <w:numPr>
          <w:ilvl w:val="0"/>
          <w:numId w:val="17"/>
        </w:numPr>
        <w:tabs>
          <w:tab w:val="clear" w:pos="720"/>
        </w:tabs>
        <w:ind w:hanging="414" w:start="1134" w:end="0"/>
        <w:rPr/>
      </w:pPr>
      <w:r>
        <w:rPr>
          <w:b/>
        </w:rPr>
        <w:t>Section 1Af(i) and (ii)</w:t>
      </w:r>
      <w:r>
        <w:rPr/>
        <w:t xml:space="preserve">: You have asked whether our answer in Section 1A(f)(i) and (ii) above would be different if the Transactions are </w:t>
      </w:r>
      <w:r>
        <w:rPr>
          <w:i/>
        </w:rPr>
        <w:t>closed out</w:t>
      </w:r>
      <w:r>
        <w:rPr/>
        <w:t xml:space="preserve"> before physical delivery with parties merely making financial settlement of balances payable between them (as described on page 13 of the Survey Questionnaire).</w:t>
      </w:r>
    </w:p>
    <w:p>
      <w:pPr>
        <w:pStyle w:val="BodyText"/>
        <w:ind w:start="1134" w:end="0"/>
        <w:rPr>
          <w:b/>
          <w:i/>
          <w:i/>
        </w:rPr>
      </w:pPr>
      <w:r>
        <w:rPr>
          <w:b/>
          <w:i/>
        </w:rPr>
        <w:t>Background</w:t>
      </w:r>
    </w:p>
    <w:p>
      <w:pPr>
        <w:pStyle w:val="BodyText"/>
        <w:ind w:start="1134" w:end="0"/>
        <w:rPr/>
      </w:pPr>
      <w:r>
        <w:rPr/>
        <w:t>In the closed-out scenario, we understand that, in addition to ECI, other entities including BTO, the Pooling Point Developer ("</w:t>
      </w:r>
      <w:r>
        <w:rPr>
          <w:b/>
        </w:rPr>
        <w:t>PPD</w:t>
      </w:r>
      <w:r>
        <w:rPr/>
        <w:t>") and a Pooling Point Administrator ("</w:t>
      </w:r>
      <w:r>
        <w:rPr>
          <w:b/>
        </w:rPr>
        <w:t>PPA</w:t>
      </w:r>
      <w:r>
        <w:rPr/>
        <w:t>") will also be involved as described below.</w:t>
      </w:r>
    </w:p>
    <w:p>
      <w:pPr>
        <w:pStyle w:val="BodyText"/>
        <w:ind w:start="1134" w:end="0"/>
        <w:rPr/>
      </w:pPr>
      <w:r>
        <w:rPr/>
        <w:t>We understand that the BTO will be a self-governing entity made up of market participants which will establish market rules and a governance system with rules to foster fair trading, but that it would not itself engage in trading.  It would also enter into agreements with other entities responsible for provision of hardware and software and for monitoring performance and delivery (which is described in greater detail below).  We understand that the BTO will have no presence in China, although it may have members in China.</w:t>
      </w:r>
    </w:p>
    <w:p>
      <w:pPr>
        <w:pStyle w:val="BodyText"/>
        <w:ind w:start="1134" w:end="0"/>
        <w:rPr/>
      </w:pPr>
      <w:r>
        <w:rPr/>
        <w:t>We understand that PPDs will be set up as operating entities wherever there is a Pooling Point.  The questionnaire envisages that there may be a Pooling Point set up in China, which means that there may be a PPD present in China.  The BTO will enter into a contract with each Pooling Pont Developer who will install and operate the hardware and software necessary for interconnection of bandwidth users and that the PPD may subcontract some of their responsibilities to a service and maintenance operator.</w:t>
      </w:r>
    </w:p>
    <w:p>
      <w:pPr>
        <w:pStyle w:val="BodyText"/>
        <w:ind w:start="1134" w:end="0"/>
        <w:rPr/>
      </w:pPr>
      <w:r>
        <w:rPr/>
        <w:t>We understand that the PPA will be a separate entity, such as PricewaterhouseCoopers, with whom the BTO will enter into an agreement.  A PPA will be located wherever there is a Pooling Point.  We further understand that the PPA's responsibilities will include real-time monitoring and verification of performance of trading contracts and administration and enforcement of the market and trading rules in compliance with applicable laws and regulations.</w:t>
      </w:r>
    </w:p>
    <w:p>
      <w:pPr>
        <w:pStyle w:val="BodyText"/>
        <w:ind w:start="1134" w:end="0"/>
        <w:rPr/>
      </w:pPr>
      <w:r>
        <w:rPr/>
        <w:t>In the following discussions, we assume that under Chinese law it is legally permissible for:</w:t>
      </w:r>
    </w:p>
    <w:p>
      <w:pPr>
        <w:pStyle w:val="squarebullet"/>
        <w:numPr>
          <w:ilvl w:val="0"/>
          <w:numId w:val="29"/>
        </w:numPr>
        <w:tabs>
          <w:tab w:val="clear" w:pos="720"/>
          <w:tab w:val="left" w:pos="1440" w:leader="none"/>
        </w:tabs>
        <w:ind w:hanging="360" w:start="1440" w:end="0"/>
        <w:rPr/>
      </w:pPr>
      <w:r>
        <w:rPr/>
        <w:t>the Local Counterparty to buy or sell Bandwidth to/from ECI</w:t>
      </w:r>
      <w:r>
        <w:rPr>
          <w:b/>
          <w:i/>
        </w:rPr>
        <w:t xml:space="preserve"> </w:t>
      </w:r>
      <w:r>
        <w:rPr/>
        <w:t>or other third party; and</w:t>
      </w:r>
    </w:p>
    <w:p>
      <w:pPr>
        <w:pStyle w:val="squarebullet"/>
        <w:numPr>
          <w:ilvl w:val="0"/>
          <w:numId w:val="5"/>
        </w:numPr>
        <w:tabs>
          <w:tab w:val="clear" w:pos="720"/>
          <w:tab w:val="left" w:pos="1440" w:leader="none"/>
        </w:tabs>
        <w:ind w:hanging="360" w:start="1440" w:end="0"/>
        <w:rPr/>
      </w:pPr>
      <w:r>
        <w:rPr/>
        <w:t>ECI to set up and operate Pooling Points, PPDs and PPAs in China (but see Section 3 for details of potential difficulties in ECI engaging in these activities).</w:t>
      </w:r>
    </w:p>
    <w:p>
      <w:pPr>
        <w:pStyle w:val="BodyText"/>
        <w:ind w:start="1080" w:end="0"/>
        <w:rPr>
          <w:b/>
          <w:i/>
          <w:i/>
        </w:rPr>
      </w:pPr>
      <w:r>
        <w:rPr>
          <w:b/>
          <w:i/>
        </w:rPr>
        <w:t>Futures market</w:t>
      </w:r>
    </w:p>
    <w:p>
      <w:pPr>
        <w:pStyle w:val="BodyText"/>
        <w:ind w:start="1080" w:end="0"/>
        <w:rPr/>
      </w:pPr>
      <w:r>
        <w:rPr/>
        <w:t>If the Transactions are closed out before physical delivery with parties merely making financial settlement of balances payable between them, it is possible that the Transactions may be regarded as futures transactions, which are governed by the Interim Regulations on the Administration of Futures Trading effective from 1 September 1999 (the "</w:t>
      </w:r>
      <w:r>
        <w:rPr>
          <w:b/>
        </w:rPr>
        <w:t>Futures Regulations</w:t>
      </w:r>
      <w:r>
        <w:rPr/>
        <w:t>") in China.</w:t>
      </w:r>
    </w:p>
    <w:p>
      <w:pPr>
        <w:pStyle w:val="BodyText"/>
        <w:ind w:start="1080" w:end="0"/>
        <w:rPr/>
      </w:pPr>
      <w:r>
        <w:rPr/>
        <w:t>The functions of BTO, PPD and PPA together fit the following definition of a "futures exchange" under the Futures Regulations, which state that a futures exchange:</w:t>
      </w:r>
      <w:r>
        <w:rPr>
          <w:rStyle w:val="FootnoteCharacters"/>
          <w:rStyle w:val="FootnoteReference"/>
        </w:rPr>
        <w:footnoteReference w:id="43"/>
      </w:r>
    </w:p>
    <w:p>
      <w:pPr>
        <w:pStyle w:val="squarebullet"/>
        <w:numPr>
          <w:ilvl w:val="0"/>
          <w:numId w:val="13"/>
        </w:numPr>
        <w:tabs>
          <w:tab w:val="clear" w:pos="720"/>
          <w:tab w:val="left" w:pos="1440" w:leader="none"/>
        </w:tabs>
        <w:ind w:hanging="360" w:start="1440" w:end="0"/>
        <w:rPr/>
      </w:pPr>
      <w:r>
        <w:rPr/>
        <w:t>provides a venue, facilities and services for futures trading;</w:t>
      </w:r>
    </w:p>
    <w:p>
      <w:pPr>
        <w:pStyle w:val="squarebullet"/>
        <w:numPr>
          <w:ilvl w:val="0"/>
          <w:numId w:val="13"/>
        </w:numPr>
        <w:tabs>
          <w:tab w:val="clear" w:pos="720"/>
          <w:tab w:val="left" w:pos="1440" w:leader="none"/>
        </w:tabs>
        <w:ind w:hanging="360" w:start="1440" w:end="0"/>
        <w:rPr/>
      </w:pPr>
      <w:r>
        <w:rPr/>
        <w:t>prepares and arranges for the listing of futures contracts;</w:t>
      </w:r>
    </w:p>
    <w:p>
      <w:pPr>
        <w:pStyle w:val="squarebullet"/>
        <w:numPr>
          <w:ilvl w:val="0"/>
          <w:numId w:val="13"/>
        </w:numPr>
        <w:tabs>
          <w:tab w:val="clear" w:pos="720"/>
          <w:tab w:val="left" w:pos="1440" w:leader="none"/>
        </w:tabs>
        <w:ind w:hanging="360" w:start="1440" w:end="0"/>
        <w:rPr/>
      </w:pPr>
      <w:r>
        <w:rPr/>
        <w:t>organises and supervises futures trading, clearing and delivery; and</w:t>
      </w:r>
    </w:p>
    <w:p>
      <w:pPr>
        <w:pStyle w:val="squarebullet"/>
        <w:numPr>
          <w:ilvl w:val="0"/>
          <w:numId w:val="13"/>
        </w:numPr>
        <w:tabs>
          <w:tab w:val="clear" w:pos="720"/>
          <w:tab w:val="left" w:pos="1440" w:leader="none"/>
        </w:tabs>
        <w:ind w:hanging="360" w:start="1440" w:end="0"/>
        <w:rPr/>
      </w:pPr>
      <w:r>
        <w:rPr/>
        <w:t>guarantees the performance of futures contracts.</w:t>
      </w:r>
    </w:p>
    <w:p>
      <w:pPr>
        <w:pStyle w:val="BodyText"/>
        <w:ind w:start="1080" w:end="0"/>
        <w:rPr/>
      </w:pPr>
      <w:r>
        <w:rPr/>
        <w:t>Under the Futures Regulations, the establishment of futures exchanges in China is subject to the examination and approval by China's securities watchdog, the China Securities Regulatory Commission (the "</w:t>
      </w:r>
      <w:r>
        <w:rPr>
          <w:b/>
        </w:rPr>
        <w:t>CSRC</w:t>
      </w:r>
      <w:r>
        <w:rPr/>
        <w:t xml:space="preserve">").  Article 6 of the Futures Regulations stipulates that no entity or individual may establish a futures exchange in any form without the approval of the CSRC.  </w:t>
      </w:r>
    </w:p>
    <w:p>
      <w:pPr>
        <w:pStyle w:val="BodyText"/>
        <w:ind w:start="1080" w:end="0"/>
        <w:rPr/>
      </w:pPr>
      <w:r>
        <w:rPr/>
        <w:t>Since heavy losses incurred by domestic broking houses and financial institutions in 1994, futures and futures exchanges have been placed under tight control by the CSRC.  Against such background, it is unlikely that any new futures exchange will be approved in the near future.  Given this, it is a remote possibility that a foreign company (not being a Chinese stated-owned enterprise) such as ECI will be approved to set up a futures exchange in China in the near future.</w:t>
      </w:r>
    </w:p>
    <w:p>
      <w:pPr>
        <w:pStyle w:val="BodyText"/>
        <w:keepNext w:val="true"/>
        <w:ind w:start="1080" w:end="0"/>
        <w:rPr>
          <w:b/>
          <w:i/>
          <w:i/>
        </w:rPr>
      </w:pPr>
      <w:r>
        <w:rPr>
          <w:b/>
          <w:i/>
        </w:rPr>
        <w:t>No OTC</w:t>
      </w:r>
    </w:p>
    <w:p>
      <w:pPr>
        <w:pStyle w:val="BodyText"/>
        <w:keepNext w:val="true"/>
        <w:ind w:start="1080" w:end="0"/>
        <w:rPr/>
      </w:pPr>
      <w:r>
        <w:rPr/>
        <w:t xml:space="preserve">It is worth noting that OTC futures transactions (as contemplated by ECI) are banned in China under the Futures Regulations.  All permissible futures transactions must be transacted at exchanges recognised by the CSRC.  </w:t>
      </w:r>
    </w:p>
    <w:p>
      <w:pPr>
        <w:pStyle w:val="BodyText"/>
        <w:ind w:start="1080" w:end="0"/>
        <w:rPr/>
      </w:pPr>
      <w:r>
        <w:rPr/>
        <w:t>Presently, there are only three duly recognised futures exchanges in China.  They are located in Shanghai, Zengzhou and Dalian trading only 12 mostly "soft" commodities (i.e. copper, aluminium, soybean, wheat, soybean meal, mung bean, natural rubber, plywood, polished long-grained non-glutinous rice, barley (for brewing), red bean and peanut).</w:t>
      </w:r>
    </w:p>
    <w:p>
      <w:pPr>
        <w:pStyle w:val="BodyText"/>
        <w:ind w:start="1080" w:end="0"/>
        <w:rPr/>
      </w:pPr>
      <w:r>
        <w:rPr/>
        <w:t>Although there are overseas futures exchanges (such as the London Metal Exchange) which are recognised by the CSRC, as discussed below, it is currently not permissible for Chinese entities to engage in foreign futures.</w:t>
      </w:r>
    </w:p>
    <w:p>
      <w:pPr>
        <w:pStyle w:val="BodyText"/>
        <w:keepNext w:val="true"/>
        <w:ind w:start="1080" w:end="0"/>
        <w:rPr>
          <w:b/>
          <w:i/>
          <w:i/>
        </w:rPr>
      </w:pPr>
      <w:r>
        <w:rPr>
          <w:b/>
          <w:i/>
        </w:rPr>
        <w:t>Qualified counterparties</w:t>
      </w:r>
    </w:p>
    <w:p>
      <w:pPr>
        <w:pStyle w:val="BodyText"/>
        <w:keepNext w:val="true"/>
        <w:ind w:start="1080" w:end="0"/>
        <w:rPr/>
      </w:pPr>
      <w:r>
        <w:rPr/>
        <w:t>Under the Futures Regulations, the following entities and individuals are prohibited from transacting futures in China:</w:t>
      </w:r>
      <w:r>
        <w:rPr>
          <w:rStyle w:val="FootnoteCharacters"/>
          <w:rStyle w:val="FootnoteReference"/>
        </w:rPr>
        <w:footnoteReference w:id="44"/>
      </w:r>
    </w:p>
    <w:p>
      <w:pPr>
        <w:pStyle w:val="squarebullet"/>
        <w:numPr>
          <w:ilvl w:val="0"/>
          <w:numId w:val="13"/>
        </w:numPr>
        <w:tabs>
          <w:tab w:val="clear" w:pos="720"/>
          <w:tab w:val="left" w:pos="1440" w:leader="none"/>
        </w:tabs>
        <w:ind w:hanging="360" w:start="1440" w:end="0"/>
        <w:rPr/>
      </w:pPr>
      <w:r>
        <w:rPr/>
        <w:t>financial</w:t>
      </w:r>
      <w:r>
        <w:rPr>
          <w:rFonts w:eastAsia="'宋体"/>
          <w:lang w:eastAsia="zh-CN"/>
        </w:rPr>
        <w:t xml:space="preserve"> </w:t>
      </w:r>
      <w:r>
        <w:rPr/>
        <w:t>institutions, State institutions and organs;</w:t>
      </w:r>
    </w:p>
    <w:p>
      <w:pPr>
        <w:pStyle w:val="squarebullet"/>
        <w:numPr>
          <w:ilvl w:val="0"/>
          <w:numId w:val="13"/>
        </w:numPr>
        <w:tabs>
          <w:tab w:val="clear" w:pos="720"/>
          <w:tab w:val="left" w:pos="1440" w:leader="none"/>
        </w:tabs>
        <w:ind w:hanging="360" w:start="1440" w:end="0"/>
        <w:rPr/>
      </w:pPr>
      <w:r>
        <w:rPr/>
        <w:t>staff of the CSRC;</w:t>
      </w:r>
    </w:p>
    <w:p>
      <w:pPr>
        <w:pStyle w:val="squarebullet"/>
        <w:numPr>
          <w:ilvl w:val="0"/>
          <w:numId w:val="13"/>
        </w:numPr>
        <w:tabs>
          <w:tab w:val="clear" w:pos="720"/>
          <w:tab w:val="left" w:pos="1440" w:leader="none"/>
        </w:tabs>
        <w:ind w:hanging="360" w:start="1440" w:end="0"/>
        <w:rPr/>
      </w:pPr>
      <w:r>
        <w:rPr/>
        <w:t>individuals who are barred from a futures market;</w:t>
      </w:r>
    </w:p>
    <w:p>
      <w:pPr>
        <w:pStyle w:val="squarebullet"/>
        <w:numPr>
          <w:ilvl w:val="0"/>
          <w:numId w:val="13"/>
        </w:numPr>
        <w:tabs>
          <w:tab w:val="clear" w:pos="720"/>
          <w:tab w:val="left" w:pos="1440" w:leader="none"/>
        </w:tabs>
        <w:ind w:hanging="360" w:start="1440" w:end="0"/>
        <w:rPr/>
      </w:pPr>
      <w:r>
        <w:rPr/>
        <w:t>parties which fail to provide account opening documents; and</w:t>
      </w:r>
    </w:p>
    <w:p>
      <w:pPr>
        <w:pStyle w:val="squarebullet"/>
        <w:numPr>
          <w:ilvl w:val="0"/>
          <w:numId w:val="13"/>
        </w:numPr>
        <w:tabs>
          <w:tab w:val="clear" w:pos="720"/>
          <w:tab w:val="left" w:pos="1440" w:leader="none"/>
        </w:tabs>
        <w:ind w:hanging="360" w:start="1440" w:end="0"/>
        <w:rPr/>
      </w:pPr>
      <w:r>
        <w:rPr/>
        <w:t>other entities or individuals prohibited from engaging in futures trading by the CSRC.</w:t>
      </w:r>
    </w:p>
    <w:p>
      <w:pPr>
        <w:pStyle w:val="BodyText"/>
        <w:ind w:start="1080" w:end="0"/>
        <w:rPr/>
      </w:pPr>
      <w:r>
        <w:rPr/>
        <w:t>Subject to Article 30 and the following, the Local Counterparties may engage in commodities futures transactions in China.</w:t>
      </w:r>
    </w:p>
    <w:p>
      <w:pPr>
        <w:pStyle w:val="BodyText"/>
        <w:keepNext w:val="true"/>
        <w:widowControl w:val="false"/>
        <w:ind w:start="1080" w:end="0"/>
        <w:rPr>
          <w:b/>
          <w:i/>
          <w:i/>
        </w:rPr>
      </w:pPr>
      <w:r>
        <w:rPr>
          <w:b/>
          <w:i/>
        </w:rPr>
        <w:t>Trading restrictions</w:t>
      </w:r>
    </w:p>
    <w:p>
      <w:pPr>
        <w:pStyle w:val="BodyText"/>
        <w:keepNext w:val="true"/>
        <w:widowControl w:val="false"/>
        <w:ind w:start="1080" w:end="0"/>
        <w:rPr>
          <w:rFonts w:eastAsia="'宋体"/>
          <w:lang w:eastAsia="zh-CN"/>
        </w:rPr>
      </w:pPr>
      <w:r>
        <w:rPr>
          <w:rFonts w:eastAsia="'宋体"/>
          <w:lang w:eastAsia="zh-CN"/>
        </w:rPr>
        <w:t xml:space="preserve">Pursuant to the Futures Regulations, a </w:t>
      </w:r>
      <w:r>
        <w:rPr>
          <w:rFonts w:eastAsia="'宋体"/>
          <w:lang w:eastAsia="zh-CN"/>
        </w:rPr>
        <w:t>state-owned enterprise</w:t>
      </w:r>
      <w:r>
        <w:rPr>
          <w:rFonts w:eastAsia="'宋体"/>
          <w:lang w:eastAsia="zh-CN"/>
        </w:rPr>
        <w:t xml:space="preserve"> and</w:t>
      </w:r>
      <w:r>
        <w:rPr>
          <w:rFonts w:eastAsia="'宋体"/>
          <w:lang w:eastAsia="zh-CN"/>
        </w:rPr>
        <w:t xml:space="preserve"> </w:t>
      </w:r>
      <w:r>
        <w:rPr>
          <w:rFonts w:eastAsia="'宋体"/>
          <w:lang w:eastAsia="zh-CN"/>
        </w:rPr>
        <w:t xml:space="preserve">an </w:t>
      </w:r>
      <w:r>
        <w:rPr>
          <w:rFonts w:eastAsia="'宋体"/>
          <w:lang w:eastAsia="zh-CN"/>
        </w:rPr>
        <w:t xml:space="preserve">enterprise in which </w:t>
      </w:r>
      <w:r>
        <w:rPr>
          <w:rFonts w:eastAsia="'宋体"/>
          <w:lang w:eastAsia="zh-CN"/>
        </w:rPr>
        <w:t>s</w:t>
      </w:r>
      <w:r>
        <w:rPr>
          <w:rFonts w:eastAsia="'宋体"/>
          <w:lang w:eastAsia="zh-CN"/>
        </w:rPr>
        <w:t xml:space="preserve">tate-owned assets </w:t>
      </w:r>
      <w:r>
        <w:rPr>
          <w:rFonts w:eastAsia="'宋体"/>
          <w:lang w:eastAsia="zh-CN"/>
        </w:rPr>
        <w:t xml:space="preserve">represent a controlling </w:t>
      </w:r>
      <w:r>
        <w:rPr>
          <w:rFonts w:eastAsia="'宋体"/>
          <w:lang w:eastAsia="zh-CN"/>
        </w:rPr>
        <w:t xml:space="preserve">or </w:t>
      </w:r>
      <w:r>
        <w:rPr>
          <w:rFonts w:eastAsia="'宋体"/>
          <w:lang w:eastAsia="zh-CN"/>
        </w:rPr>
        <w:t xml:space="preserve">dominant position </w:t>
      </w:r>
      <w:r>
        <w:rPr>
          <w:rFonts w:eastAsia="'宋体"/>
          <w:lang w:eastAsia="zh-CN"/>
        </w:rPr>
        <w:t xml:space="preserve">may only </w:t>
      </w:r>
      <w:r>
        <w:rPr>
          <w:rFonts w:eastAsia="'宋体"/>
          <w:lang w:eastAsia="zh-CN"/>
        </w:rPr>
        <w:t xml:space="preserve">participate </w:t>
      </w:r>
      <w:r>
        <w:rPr>
          <w:rFonts w:eastAsia="'宋体"/>
          <w:lang w:eastAsia="zh-CN"/>
        </w:rPr>
        <w:t xml:space="preserve">in </w:t>
      </w:r>
      <w:r>
        <w:rPr>
          <w:rFonts w:eastAsia="'宋体"/>
          <w:lang w:eastAsia="zh-CN"/>
        </w:rPr>
        <w:t xml:space="preserve">commodities </w:t>
      </w:r>
      <w:r>
        <w:rPr>
          <w:rFonts w:eastAsia="'宋体"/>
          <w:lang w:eastAsia="zh-CN"/>
        </w:rPr>
        <w:t>futures trading</w:t>
      </w:r>
      <w:r>
        <w:rPr>
          <w:rFonts w:eastAsia="'宋体"/>
          <w:lang w:eastAsia="zh-CN"/>
        </w:rPr>
        <w:t xml:space="preserve"> for </w:t>
      </w:r>
      <w:r>
        <w:rPr>
          <w:rFonts w:eastAsia="'宋体"/>
          <w:i/>
          <w:lang w:eastAsia="zh-CN"/>
        </w:rPr>
        <w:t>hedging</w:t>
      </w:r>
      <w:r>
        <w:rPr>
          <w:rFonts w:eastAsia="'宋体"/>
          <w:lang w:eastAsia="zh-CN"/>
        </w:rPr>
        <w:t xml:space="preserve"> purposes and must meet the following requirements:</w:t>
      </w:r>
      <w:r>
        <w:rPr>
          <w:rStyle w:val="FootnoteCharacters"/>
          <w:rStyle w:val="FootnoteReference"/>
          <w:rFonts w:eastAsia="'宋体"/>
          <w:lang w:eastAsia="zh-CN"/>
        </w:rPr>
        <w:footnoteReference w:id="45"/>
      </w:r>
    </w:p>
    <w:p>
      <w:pPr>
        <w:pStyle w:val="squarebullet"/>
        <w:numPr>
          <w:ilvl w:val="0"/>
          <w:numId w:val="13"/>
        </w:numPr>
        <w:tabs>
          <w:tab w:val="clear" w:pos="720"/>
          <w:tab w:val="left" w:pos="1440" w:leader="none"/>
        </w:tabs>
        <w:ind w:hanging="360" w:start="1440" w:end="0"/>
        <w:rPr>
          <w:rFonts w:eastAsia="'宋体"/>
          <w:lang w:eastAsia="zh-CN"/>
        </w:rPr>
      </w:pPr>
      <w:r>
        <w:rPr>
          <w:rFonts w:eastAsia="'宋体"/>
          <w:lang w:eastAsia="zh-CN"/>
        </w:rPr>
        <w:t>the underlying commodities must be r</w:t>
      </w:r>
      <w:r>
        <w:rPr>
          <w:rFonts w:eastAsia="'宋体"/>
          <w:lang w:eastAsia="zh-CN"/>
        </w:rPr>
        <w:t xml:space="preserve">estricted to products manufactured </w:t>
      </w:r>
      <w:r>
        <w:rPr>
          <w:rFonts w:eastAsia="'宋体"/>
          <w:lang w:eastAsia="zh-CN"/>
        </w:rPr>
        <w:t xml:space="preserve">and traded </w:t>
      </w:r>
      <w:r>
        <w:rPr>
          <w:rFonts w:eastAsia="'宋体"/>
          <w:lang w:eastAsia="zh-CN"/>
        </w:rPr>
        <w:t xml:space="preserve">by themselves or raw materials </w:t>
      </w:r>
      <w:r>
        <w:rPr>
          <w:rFonts w:eastAsia="'宋体"/>
          <w:lang w:eastAsia="zh-CN"/>
        </w:rPr>
        <w:t xml:space="preserve">required </w:t>
      </w:r>
      <w:r>
        <w:rPr>
          <w:rFonts w:eastAsia="'宋体"/>
          <w:lang w:eastAsia="zh-CN"/>
        </w:rPr>
        <w:t>for production;</w:t>
      </w:r>
    </w:p>
    <w:p>
      <w:pPr>
        <w:pStyle w:val="squarebullet"/>
        <w:numPr>
          <w:ilvl w:val="0"/>
          <w:numId w:val="13"/>
        </w:numPr>
        <w:tabs>
          <w:tab w:val="clear" w:pos="720"/>
          <w:tab w:val="left" w:pos="1440" w:leader="none"/>
        </w:tabs>
        <w:ind w:hanging="360" w:start="1440" w:end="0"/>
        <w:rPr>
          <w:rFonts w:eastAsia="'宋体"/>
          <w:lang w:eastAsia="zh-CN"/>
        </w:rPr>
      </w:pPr>
      <w:r>
        <w:rPr>
          <w:rFonts w:eastAsia="'宋体"/>
          <w:lang w:eastAsia="zh-CN"/>
        </w:rPr>
        <w:t>t</w:t>
      </w:r>
      <w:r>
        <w:rPr>
          <w:rFonts w:eastAsia="'宋体"/>
          <w:lang w:eastAsia="zh-CN"/>
        </w:rPr>
        <w:t xml:space="preserve">he total </w:t>
      </w:r>
      <w:r>
        <w:rPr>
          <w:rFonts w:eastAsia="'宋体"/>
          <w:lang w:eastAsia="zh-CN"/>
        </w:rPr>
        <w:t xml:space="preserve">futures </w:t>
      </w:r>
      <w:r>
        <w:rPr>
          <w:rFonts w:eastAsia="'宋体"/>
          <w:lang w:eastAsia="zh-CN"/>
        </w:rPr>
        <w:t xml:space="preserve">trading volume </w:t>
      </w:r>
      <w:r>
        <w:rPr>
          <w:rFonts w:eastAsia="'宋体"/>
          <w:lang w:eastAsia="zh-CN"/>
        </w:rPr>
        <w:t xml:space="preserve">must </w:t>
      </w:r>
      <w:r>
        <w:rPr>
          <w:rFonts w:eastAsia="'宋体"/>
          <w:lang w:eastAsia="zh-CN"/>
        </w:rPr>
        <w:t>match the total spot trading volume for the same period;</w:t>
      </w:r>
    </w:p>
    <w:p>
      <w:pPr>
        <w:pStyle w:val="squarebullet"/>
        <w:numPr>
          <w:ilvl w:val="0"/>
          <w:numId w:val="13"/>
        </w:numPr>
        <w:tabs>
          <w:tab w:val="clear" w:pos="720"/>
          <w:tab w:val="left" w:pos="1440" w:leader="none"/>
        </w:tabs>
        <w:ind w:hanging="360" w:start="1440" w:end="0"/>
        <w:rPr>
          <w:rFonts w:eastAsia="'宋体"/>
          <w:lang w:eastAsia="zh-CN"/>
        </w:rPr>
      </w:pPr>
      <w:r>
        <w:rPr>
          <w:rFonts w:eastAsia="'宋体"/>
          <w:lang w:eastAsia="zh-CN"/>
        </w:rPr>
        <w:t xml:space="preserve">other requirements </w:t>
      </w:r>
      <w:r>
        <w:rPr>
          <w:rFonts w:eastAsia="'宋体"/>
          <w:lang w:eastAsia="zh-CN"/>
        </w:rPr>
        <w:t>of</w:t>
      </w:r>
      <w:r>
        <w:rPr>
          <w:rFonts w:eastAsia="'宋体"/>
          <w:lang w:eastAsia="zh-CN"/>
        </w:rPr>
        <w:t xml:space="preserve"> the CSRC.</w:t>
      </w:r>
    </w:p>
    <w:p>
      <w:pPr>
        <w:pStyle w:val="BodyText"/>
        <w:ind w:start="1080" w:end="0"/>
        <w:rPr>
          <w:rFonts w:eastAsia="'宋体"/>
          <w:b/>
          <w:i/>
          <w:i/>
          <w:lang w:eastAsia="zh-CN"/>
        </w:rPr>
      </w:pPr>
      <w:r>
        <w:rPr>
          <w:rFonts w:eastAsia="'宋体"/>
          <w:b/>
          <w:i/>
          <w:lang w:eastAsia="zh-CN"/>
        </w:rPr>
        <w:t>No foreign futures</w:t>
      </w:r>
    </w:p>
    <w:p>
      <w:pPr>
        <w:pStyle w:val="BodyText"/>
        <w:ind w:start="1080" w:end="0"/>
        <w:rPr>
          <w:rFonts w:eastAsia="'宋体"/>
          <w:lang w:eastAsia="zh-CN"/>
        </w:rPr>
      </w:pPr>
      <w:r>
        <w:rPr>
          <w:rFonts w:eastAsia="'宋体"/>
          <w:lang w:eastAsia="zh-CN"/>
        </w:rPr>
        <w:t>According to the Futures Regulations</w:t>
      </w:r>
      <w:r>
        <w:rPr>
          <w:rFonts w:eastAsia="'宋体"/>
          <w:lang w:eastAsia="zh-CN"/>
        </w:rPr>
        <w:t xml:space="preserve">, no </w:t>
      </w:r>
      <w:r>
        <w:rPr>
          <w:rFonts w:eastAsia="'宋体"/>
          <w:lang w:eastAsia="zh-CN"/>
        </w:rPr>
        <w:t xml:space="preserve">entity </w:t>
      </w:r>
      <w:r>
        <w:rPr>
          <w:rFonts w:eastAsia="'宋体"/>
          <w:lang w:eastAsia="zh-CN"/>
        </w:rPr>
        <w:t xml:space="preserve">or individual </w:t>
      </w:r>
      <w:r>
        <w:rPr>
          <w:rFonts w:eastAsia="'宋体"/>
          <w:lang w:eastAsia="zh-CN"/>
        </w:rPr>
        <w:t>may engage d</w:t>
      </w:r>
      <w:r>
        <w:rPr>
          <w:rFonts w:eastAsia="'宋体"/>
          <w:lang w:eastAsia="zh-CN"/>
        </w:rPr>
        <w:t>irectly or indirectly in futures trading</w:t>
      </w:r>
      <w:r>
        <w:rPr>
          <w:rFonts w:eastAsia="'宋体"/>
          <w:lang w:eastAsia="zh-CN"/>
        </w:rPr>
        <w:t xml:space="preserve"> outside the territory of China</w:t>
      </w:r>
      <w:r>
        <w:rPr>
          <w:rFonts w:eastAsia="'宋体"/>
          <w:lang w:eastAsia="zh-CN"/>
        </w:rPr>
        <w:t xml:space="preserve"> without a </w:t>
      </w:r>
      <w:r>
        <w:rPr>
          <w:rFonts w:eastAsia="'宋体"/>
          <w:lang w:eastAsia="zh-CN"/>
        </w:rPr>
        <w:t>"Foreign Futures Business Permit" issued by</w:t>
      </w:r>
      <w:r>
        <w:rPr>
          <w:rFonts w:eastAsia="'宋体"/>
          <w:lang w:eastAsia="zh-CN"/>
        </w:rPr>
        <w:t xml:space="preserve"> </w:t>
      </w:r>
      <w:r>
        <w:rPr>
          <w:rFonts w:eastAsia="'宋体"/>
          <w:lang w:eastAsia="zh-CN"/>
        </w:rPr>
        <w:t>the CSRC (in joint consultation with</w:t>
      </w:r>
      <w:r>
        <w:rPr>
          <w:rFonts w:eastAsia="'宋体"/>
          <w:lang w:eastAsia="zh-CN"/>
        </w:rPr>
        <w:t xml:space="preserve"> </w:t>
      </w:r>
      <w:r>
        <w:rPr>
          <w:rFonts w:eastAsia="'宋体"/>
          <w:lang w:eastAsia="zh-CN"/>
        </w:rPr>
        <w:t xml:space="preserve">the </w:t>
      </w:r>
      <w:r>
        <w:rPr>
          <w:rFonts w:eastAsia="'宋体"/>
          <w:lang w:eastAsia="zh-CN"/>
        </w:rPr>
        <w:t xml:space="preserve">relevant </w:t>
      </w:r>
      <w:r>
        <w:rPr>
          <w:rFonts w:eastAsia="'宋体"/>
          <w:lang w:eastAsia="zh-CN"/>
        </w:rPr>
        <w:t xml:space="preserve">departments and with the approval of </w:t>
      </w:r>
      <w:r>
        <w:rPr>
          <w:rFonts w:eastAsia="'宋体"/>
          <w:lang w:eastAsia="zh-CN"/>
        </w:rPr>
        <w:t>the State Council</w:t>
      </w:r>
      <w:r>
        <w:rPr>
          <w:rFonts w:eastAsia="'宋体"/>
          <w:lang w:eastAsia="zh-CN"/>
        </w:rPr>
        <w:t>).  We understand so far no "Foreign Futures Business Permit" has been issued.</w:t>
      </w:r>
      <w:r>
        <w:rPr>
          <w:rStyle w:val="FootnoteCharacters"/>
          <w:rStyle w:val="FootnoteReference"/>
          <w:rFonts w:eastAsia="'宋体"/>
          <w:lang w:eastAsia="zh-CN"/>
        </w:rPr>
        <w:footnoteReference w:id="46"/>
      </w:r>
    </w:p>
    <w:p>
      <w:pPr>
        <w:pStyle w:val="BodyText"/>
        <w:keepNext w:val="true"/>
        <w:ind w:start="1080" w:end="0"/>
        <w:rPr>
          <w:rFonts w:eastAsia="'宋体"/>
          <w:b/>
          <w:i/>
          <w:i/>
          <w:lang w:eastAsia="zh-CN"/>
        </w:rPr>
      </w:pPr>
      <w:r>
        <w:rPr>
          <w:rFonts w:eastAsia="'宋体"/>
          <w:b/>
          <w:i/>
          <w:lang w:eastAsia="zh-CN"/>
        </w:rPr>
        <w:t>Conclusion</w:t>
      </w:r>
    </w:p>
    <w:p>
      <w:pPr>
        <w:pStyle w:val="BodyText"/>
        <w:keepNext w:val="true"/>
        <w:ind w:start="1080" w:end="0"/>
        <w:rPr>
          <w:rFonts w:eastAsia="'宋体"/>
          <w:lang w:eastAsia="zh-CN"/>
        </w:rPr>
      </w:pPr>
      <w:r>
        <w:rPr>
          <w:rFonts w:eastAsia="'宋体"/>
          <w:lang w:eastAsia="zh-CN"/>
        </w:rPr>
        <w:t xml:space="preserve">Given the above, it is not permissible at this stage for the Local Counterparties to engage in closed-out Transactions with ECI both in and outside of China.  </w:t>
      </w:r>
    </w:p>
    <w:p>
      <w:pPr>
        <w:sectPr>
          <w:headerReference w:type="default" r:id="rId12"/>
          <w:headerReference w:type="first" r:id="rId13"/>
          <w:footerReference w:type="default" r:id="rId14"/>
          <w:footerReference w:type="first" r:id="rId15"/>
          <w:footnotePr>
            <w:numFmt w:val="decimal"/>
          </w:footnotePr>
          <w:type w:val="nextPage"/>
          <w:pgSz w:w="11906" w:h="16838"/>
          <w:pgMar w:left="1701" w:right="1701" w:gutter="0" w:header="720" w:top="1440" w:footer="283" w:bottom="1134"/>
          <w:pgNumType w:start="44" w:fmt="decimal"/>
          <w:formProt w:val="false"/>
          <w:textDirection w:val="lrTb"/>
          <w:docGrid w:type="default" w:linePitch="360" w:charSpace="0"/>
        </w:sectPr>
        <w:pStyle w:val="BodyText"/>
        <w:ind w:start="1080" w:end="0"/>
        <w:rPr/>
      </w:pPr>
      <w:r>
        <w:rPr>
          <w:rFonts w:eastAsia="'宋体"/>
          <w:lang w:eastAsia="zh-CN"/>
        </w:rPr>
        <w:t>Even if it is possible for the Local Counterparties to do so (either due to the establishment of a PRC Bandwidth futures exchange or the inclusion of Bandwidth as one of the commodities traded at the existing Chinese futures exchanges or the issue of "Foreign Futures Business Permit"), the Local Counterparties must not be a financial institution (as contemplated by ECI) and must have been approved to engage in the business of using or trading Bandwidth.</w:t>
      </w:r>
      <w:r>
        <w:rPr>
          <w:rStyle w:val="FootnoteCharacters"/>
          <w:rStyle w:val="FootnoteReference"/>
          <w:rFonts w:eastAsia="'宋体"/>
          <w:lang w:eastAsia="zh-CN"/>
        </w:rPr>
        <w:footnoteReference w:id="47"/>
      </w:r>
      <w:r>
        <w:rPr>
          <w:rFonts w:eastAsia="'宋体"/>
          <w:lang w:eastAsia="zh-CN"/>
        </w:rPr>
        <w:t xml:space="preserve">  In addition, the Local Counterparties may only engage in futures trading of Bandwidth for hedging purposes to the extent of the volume of its spot trading of Bandwidth.</w:t>
      </w:r>
    </w:p>
    <w:p>
      <w:pPr>
        <w:pStyle w:val="Heading1"/>
        <w:ind w:hanging="0" w:start="0"/>
        <w:rPr>
          <w:kern w:val="2"/>
        </w:rPr>
      </w:pPr>
      <w:bookmarkStart w:id="28" w:name="__RefHeading___Toc470337133"/>
      <w:bookmarkEnd w:id="28"/>
      <w:r>
        <w:rPr>
          <w:kern w:val="2"/>
        </w:rPr>
        <w:t>SECTION 3 - establishment of pooling points and connection of telecommunications networks to pooling points</w:t>
      </w:r>
    </w:p>
    <w:p>
      <w:pPr>
        <w:pStyle w:val="BodyText"/>
        <w:rPr/>
      </w:pPr>
      <w:r>
        <w:rPr/>
        <w:t>This section concerns the potential establishment of a Pooling Point at a specific location in China.  Such Pooling Point would be owned, operated and/or administered by a PPD.</w:t>
      </w:r>
    </w:p>
    <w:p>
      <w:pPr>
        <w:pStyle w:val="Heading2"/>
        <w:ind w:hanging="0" w:start="0"/>
        <w:rPr/>
      </w:pPr>
      <w:bookmarkStart w:id="29" w:name="__RefHeading___Toc470337134"/>
      <w:bookmarkEnd w:id="29"/>
      <w:r>
        <w:rPr/>
        <w:t>Section 3A:  Establishment of a Pooling Point in China by a Pooling Point Operator</w:t>
      </w:r>
    </w:p>
    <w:p>
      <w:pPr>
        <w:pStyle w:val="BodyText"/>
        <w:rPr/>
      </w:pPr>
      <w:r>
        <w:rPr/>
        <w:t>You have asked that we assume for the purposes of questions (a) to (d) of this Section 3A that the PPD would not be incorporated in, nor have any branch or other form of presence in, China.  As you will see, however, we do not believe the PPD would be permitted to carry out its proposed operations in China unless it was domestic entity established in China.  In order to be able to respond to your questions, we have therefore assumed for certain purposes that the entity is incorporated in China and is not a foreign investment enterprise.</w:t>
      </w:r>
    </w:p>
    <w:tbl>
      <w:tblPr>
        <w:tblW w:w="8045" w:type="dxa"/>
        <w:jc w:val="start"/>
        <w:tblInd w:w="675" w:type="dxa"/>
        <w:tblLayout w:type="fixed"/>
        <w:tblCellMar>
          <w:top w:w="0" w:type="dxa"/>
          <w:start w:w="108" w:type="dxa"/>
          <w:bottom w:w="0" w:type="dxa"/>
          <w:end w:w="108" w:type="dxa"/>
        </w:tblCellMar>
      </w:tblPr>
      <w:tblGrid>
        <w:gridCol w:w="851"/>
        <w:gridCol w:w="7194"/>
      </w:tblGrid>
      <w:tr>
        <w:trPr/>
        <w:tc>
          <w:tcPr>
            <w:tcW w:w="851" w:type="dxa"/>
            <w:tcBorders/>
          </w:tcPr>
          <w:p>
            <w:pPr>
              <w:pStyle w:val="BodyText"/>
              <w:spacing w:before="0" w:after="0"/>
              <w:ind w:start="0" w:end="0"/>
              <w:rPr>
                <w:sz w:val="20"/>
              </w:rPr>
            </w:pPr>
            <w:r>
              <w:rPr>
                <w:sz w:val="20"/>
              </w:rPr>
              <w:t>(a)-(b)</w:t>
            </w:r>
          </w:p>
          <w:p>
            <w:pPr>
              <w:pStyle w:val="BodyText"/>
              <w:spacing w:before="0" w:after="0"/>
              <w:ind w:start="0" w:end="0"/>
              <w:rPr>
                <w:sz w:val="20"/>
              </w:rPr>
            </w:pPr>
            <w:r>
              <w:rPr>
                <w:sz w:val="20"/>
              </w:rPr>
            </w:r>
          </w:p>
        </w:tc>
        <w:tc>
          <w:tcPr>
            <w:tcW w:w="7194" w:type="dxa"/>
            <w:tcBorders/>
          </w:tcPr>
          <w:p>
            <w:pPr>
              <w:pStyle w:val="BodyText"/>
              <w:spacing w:before="0" w:after="240"/>
              <w:ind w:start="0" w:end="0"/>
              <w:rPr>
                <w:b/>
                <w:i/>
                <w:i/>
              </w:rPr>
            </w:pPr>
            <w:r>
              <w:rPr>
                <w:b/>
                <w:i/>
              </w:rPr>
              <w:t xml:space="preserve">How would the establishment, ownership, operation or administration of a Pooling Point fall to be examined and categorised under the telecoms regulatory regime in China?  Would any licences, permits, consents or other governmental or regulatory approvals (for example, in the form of telecommunications licences) be required to be obtained in China in order for the PPD to establish and/or own and/or operate and/or administer a Pooling Point in China?  If so, please describe </w:t>
            </w:r>
          </w:p>
        </w:tc>
      </w:tr>
    </w:tbl>
    <w:p>
      <w:pPr>
        <w:pStyle w:val="Heading5"/>
        <w:ind w:hanging="0" w:start="0"/>
        <w:rPr>
          <w:b/>
          <w:i/>
          <w:i/>
        </w:rPr>
      </w:pPr>
      <w:r>
        <w:rPr>
          <w:b/>
          <w:i/>
        </w:rPr>
        <w:t>which licences, permits, consents or other approvals are required, if any, and from whom they are required to be obtained for each of (a) the Pooling Point itself and (b) the PPD?; and</w:t>
      </w:r>
    </w:p>
    <w:p>
      <w:pPr>
        <w:pStyle w:val="Heading5"/>
        <w:ind w:hanging="0" w:start="0"/>
        <w:rPr>
          <w:b/>
          <w:i/>
          <w:i/>
        </w:rPr>
      </w:pPr>
      <w:r>
        <w:rPr>
          <w:b/>
          <w:i/>
        </w:rPr>
        <w:t>if licences or permits would be required, which types of licences or permits would be applicable e</w:t>
      </w:r>
      <w:r>
        <w:rPr/>
        <w:t>.</w:t>
      </w:r>
      <w:r>
        <w:rPr>
          <w:b/>
          <w:i/>
        </w:rPr>
        <w:t>g</w:t>
      </w:r>
      <w:r>
        <w:rPr/>
        <w:t>.</w:t>
      </w:r>
      <w:r>
        <w:rPr>
          <w:b/>
          <w:i/>
        </w:rPr>
        <w:t xml:space="preserve"> an individual licence, class licence or exemptions?; and</w:t>
      </w:r>
    </w:p>
    <w:p>
      <w:pPr>
        <w:pStyle w:val="Heading5"/>
        <w:ind w:hanging="0" w:start="0"/>
        <w:rPr>
          <w:b/>
          <w:i/>
          <w:i/>
        </w:rPr>
      </w:pPr>
      <w:r>
        <w:rPr>
          <w:b/>
          <w:i/>
        </w:rPr>
        <w:t>briefly describe the procedure and approximately how long it would take for the PPD to obtain any such licences, consents or approvals</w:t>
      </w:r>
      <w:r>
        <w:rPr/>
        <w:t>.</w:t>
      </w:r>
    </w:p>
    <w:p>
      <w:pPr>
        <w:pStyle w:val="BodyText3"/>
        <w:rPr/>
      </w:pPr>
      <w:r>
        <w:rPr/>
        <w:t>We believe that in order to both establish a Pooling Point and own/operate and/or administer a Pooling Point, it would be necessary to have a presence in China.  Furthermore, given the prohibition on foreign investment in the management and operation of telecommunications services in China, we believe that the PPD may only be a pure domestic legal entity (and not, therefore, a branch of a foreign company or a foreign invested entity established in China).</w:t>
      </w:r>
    </w:p>
    <w:p>
      <w:pPr>
        <w:pStyle w:val="BodyText3"/>
        <w:rPr/>
      </w:pPr>
      <w:r>
        <w:rPr/>
        <w:t>In order to operate the Pooling Point, we believe that the PPD would require approval from the MII (or its lower authorities) to its establishment and that its authorised scope of business would need to cover the operation of telecommunications services.  We are not aware of any published laws or regulations concerning the licensing of telecommunications services except in relation to certain deregulated sectors (see Section 1A(a)(ii)).  Since its scope of operations does not appear to fall precisely into any of these categories of business, it is unclear what would be the procedure, or the timing, for obtaining the appropriate telecommunications licence and authorised business scope.  Further enquiries would be necessary of the Chinese regulatory authorities to clarify this issue.</w:t>
      </w:r>
    </w:p>
    <w:p>
      <w:pPr>
        <w:pStyle w:val="BodyText"/>
        <w:ind w:hanging="698" w:start="1418" w:end="0"/>
        <w:rPr/>
      </w:pPr>
      <w:r>
        <w:rPr/>
        <w:t>(c)</w:t>
        <w:tab/>
      </w:r>
      <w:r>
        <w:rPr>
          <w:b/>
          <w:i/>
        </w:rPr>
        <w:t>Which other elements of the telecoms regulatory regime in China would affect the establishment, ownership, operation or administration of a Pooling Point in China?</w:t>
      </w:r>
    </w:p>
    <w:p>
      <w:pPr>
        <w:pStyle w:val="BodyText2"/>
        <w:rPr/>
      </w:pPr>
      <w:r>
        <w:rPr/>
        <w:t>Those areas highlighted in Section 1A(b) may apply directly or indirectly to the Pooling Point in China.</w:t>
      </w:r>
    </w:p>
    <w:p>
      <w:pPr>
        <w:pStyle w:val="BodyText"/>
        <w:ind w:hanging="698" w:start="1418" w:end="0"/>
        <w:rPr/>
      </w:pPr>
      <w:r>
        <w:rPr/>
        <w:t>(d)</w:t>
        <w:tab/>
      </w:r>
      <w:r>
        <w:rPr>
          <w:b/>
          <w:i/>
        </w:rPr>
        <w:t>Would the PPD be subject to the rules and regulations of any regulatory body in China in respect of the establishment and/or ownership and/or operation and/or administration of the Pooling Point?  If so, please:</w:t>
      </w:r>
    </w:p>
    <w:p>
      <w:pPr>
        <w:pStyle w:val="BodyText"/>
        <w:tabs>
          <w:tab w:val="clear" w:pos="720"/>
          <w:tab w:val="left" w:pos="993" w:leader="none"/>
        </w:tabs>
        <w:ind w:hanging="698" w:start="1418" w:end="0"/>
        <w:rPr/>
      </w:pPr>
      <w:r>
        <w:rPr/>
        <w:t>(d)(i)</w:t>
        <w:tab/>
      </w:r>
      <w:r>
        <w:rPr>
          <w:b/>
          <w:i/>
        </w:rPr>
        <w:t>identify and describe the nature of the regulatory body concerned;</w:t>
      </w:r>
    </w:p>
    <w:p>
      <w:pPr>
        <w:pStyle w:val="BodyText"/>
        <w:tabs>
          <w:tab w:val="clear" w:pos="720"/>
          <w:tab w:val="left" w:pos="993" w:leader="none"/>
        </w:tabs>
        <w:ind w:hanging="698" w:start="1418" w:end="0"/>
        <w:rPr/>
      </w:pPr>
      <w:r>
        <w:rPr/>
        <w:t>(d)(ii)</w:t>
        <w:tab/>
      </w:r>
      <w:r>
        <w:rPr>
          <w:b/>
          <w:i/>
        </w:rPr>
        <w:t xml:space="preserve">briefly describe the structure and composition of the regulatory body, including its powers and duties as they would relate to the ownership and/or establishment and/or operation and/or administration of the Pooling Point and/or the PPD; </w:t>
      </w:r>
    </w:p>
    <w:p>
      <w:pPr>
        <w:pStyle w:val="BodyText2"/>
        <w:rPr>
          <w:i/>
          <w:i/>
        </w:rPr>
      </w:pPr>
      <w:r>
        <w:rPr/>
        <w:t xml:space="preserve">As a telecommunications services operator, the main regulatory body of the PPD will be the MII.  The structure and functions of the MII are described in more detail in our overview of the telecommunications regime set out in Section 1A.  </w:t>
      </w:r>
    </w:p>
    <w:p>
      <w:pPr>
        <w:pStyle w:val="BodyText2"/>
        <w:rPr/>
      </w:pPr>
      <w:r>
        <w:rPr/>
        <w:t>Depending on its size, location and the particular type of telecommunications networks to be connected to the Pooling Point, other government authorities and Ministries may also have supervisory powers.</w:t>
      </w:r>
    </w:p>
    <w:p>
      <w:pPr>
        <w:pStyle w:val="BodyText"/>
        <w:keepNext w:val="true"/>
        <w:keepLines/>
        <w:tabs>
          <w:tab w:val="clear" w:pos="720"/>
          <w:tab w:val="left" w:pos="993" w:leader="none"/>
        </w:tabs>
        <w:ind w:hanging="697" w:start="1417" w:end="0"/>
        <w:rPr/>
      </w:pPr>
      <w:r>
        <w:rPr/>
        <w:t>(d)(iii)</w:t>
        <w:tab/>
      </w:r>
      <w:r>
        <w:rPr>
          <w:b/>
          <w:i/>
        </w:rPr>
        <w:t>briefly describe the obligations of the PPD to such regulatory body (including, but not limited to, any obligation there may be upon the PPD to provide periodic reports or other information to such body relating to the PPD and/or the Pooling Point); and</w:t>
      </w:r>
    </w:p>
    <w:p>
      <w:pPr>
        <w:pStyle w:val="BodyText2"/>
        <w:rPr/>
      </w:pPr>
      <w:r>
        <w:rPr/>
        <w:t>We are not aware of any law detailing the reporting requirements of a telecommunications services provider in China.  These requirements are likely to be set out in applicable internal guidelines and codes of practice issued by the MII and other relevant authorities.  See also Section 1A(e)(i) on the annual inspection procedure.</w:t>
      </w:r>
    </w:p>
    <w:p>
      <w:pPr>
        <w:pStyle w:val="BodyText"/>
        <w:tabs>
          <w:tab w:val="clear" w:pos="720"/>
          <w:tab w:val="left" w:pos="993" w:leader="none"/>
        </w:tabs>
        <w:ind w:hanging="698" w:start="1418" w:end="0"/>
        <w:rPr/>
      </w:pPr>
      <w:r>
        <w:rPr/>
        <w:t>(d)</w:t>
        <w:tab/>
        <w:t>(iv)</w:t>
        <w:tab/>
      </w:r>
      <w:r>
        <w:rPr>
          <w:b/>
          <w:i/>
        </w:rPr>
        <w:t>would your answers to any of the questions contained in Section 3A(a), (b), (c) or (d) change in any manner if the ownership, operation and administration of the Pooling Point are not done by one and the same entity.</w:t>
      </w:r>
    </w:p>
    <w:p>
      <w:pPr>
        <w:pStyle w:val="BodyText2"/>
        <w:rPr/>
      </w:pPr>
      <w:r>
        <w:rPr/>
        <w:t>The relevant legislation does not distinguish between the ownership and operation of telecommunications services.  The governing principle in respect of the licensing of entities in the telecommunications services appears to be whether the entity engages in telecommunications business.  We are therefore of the view that where separate entities were to engage in the ownership and operation of the Pooling Point, both such entities would be considered engaged in telecommunications business.  Our answers to Sections 3A(a) to (d) therefore would not change.</w:t>
      </w:r>
    </w:p>
    <w:p>
      <w:pPr>
        <w:pStyle w:val="BodyText"/>
        <w:ind w:hanging="698" w:start="1418" w:end="0"/>
        <w:rPr/>
      </w:pPr>
      <w:r>
        <w:rPr/>
        <w:t>(e)</w:t>
        <w:tab/>
      </w:r>
      <w:r>
        <w:rPr>
          <w:b/>
          <w:i/>
        </w:rPr>
        <w:t>A switching facility such as a Pooling Point is a highly attractive and effective interception point for law enforcement agencies wishing to 'tap' into calls (wiretapping).</w:t>
      </w:r>
    </w:p>
    <w:p>
      <w:pPr>
        <w:pStyle w:val="BodyText"/>
        <w:tabs>
          <w:tab w:val="clear" w:pos="720"/>
          <w:tab w:val="left" w:pos="993" w:leader="none"/>
        </w:tabs>
        <w:ind w:hanging="698" w:start="1418" w:end="0"/>
        <w:rPr/>
      </w:pPr>
      <w:r>
        <w:rPr/>
        <w:t>(e)</w:t>
        <w:tab/>
        <w:t>(i)</w:t>
        <w:tab/>
      </w:r>
      <w:r>
        <w:rPr>
          <w:b/>
          <w:i/>
        </w:rPr>
        <w:t>If a law enforcement agency in China was to make a properly constituted request to intercept telecommunications traffic at a Pooling Point, would the PPD be required under the laws of China to comply with such request?</w:t>
      </w:r>
    </w:p>
    <w:p>
      <w:pPr>
        <w:pStyle w:val="BodyText"/>
        <w:tabs>
          <w:tab w:val="clear" w:pos="720"/>
          <w:tab w:val="left" w:pos="993" w:leader="none"/>
        </w:tabs>
        <w:ind w:hanging="698" w:start="1418" w:end="0"/>
        <w:rPr/>
      </w:pPr>
      <w:r>
        <w:rPr/>
        <w:t>(e)(ii)</w:t>
        <w:tab/>
      </w:r>
      <w:r>
        <w:rPr>
          <w:b/>
          <w:i/>
        </w:rPr>
        <w:t>If the party to whom the request is made is required to allow the interception as requested by the law enforcement agencies, what is the penalty for non-compliance?</w:t>
      </w:r>
    </w:p>
    <w:p>
      <w:pPr>
        <w:pStyle w:val="BodyText2"/>
        <w:rPr/>
      </w:pPr>
      <w:r>
        <w:rPr/>
        <w:t>We are not aware of any law or regulation which specifically governs the wiretapping procedures for law enforcement agencies in China.  Article 40 of the Chinese Constitution does, however, provide that no organisation may infringe upon a Chinese citizen's freedom and secrecy of correspondence "</w:t>
      </w:r>
      <w:r>
        <w:rPr>
          <w:i/>
        </w:rPr>
        <w:t>except</w:t>
      </w:r>
      <w:r>
        <w:rPr/>
        <w:t xml:space="preserve"> in the cases of public security or procuratorial organs for the needs of state security or investigation into criminal offences".</w:t>
      </w:r>
    </w:p>
    <w:p>
      <w:pPr>
        <w:pStyle w:val="BodyText"/>
        <w:ind w:hanging="698" w:start="1418" w:end="0"/>
        <w:rPr/>
      </w:pPr>
      <w:r>
        <w:rPr/>
        <w:t>(f)</w:t>
        <w:tab/>
      </w:r>
      <w:r>
        <w:rPr>
          <w:b/>
          <w:i/>
        </w:rPr>
        <w:t>Would any data protection laws in China apply to any data or other information flowing through the Pooling Point and, if so, how would such laws impact on the PPD?  Would the PPD be required to comply with such laws and, if so, how?</w:t>
      </w:r>
    </w:p>
    <w:p>
      <w:pPr>
        <w:pStyle w:val="BodyText2"/>
        <w:rPr/>
      </w:pPr>
      <w:r>
        <w:rPr/>
        <w:t>There is no specific data protection law in China.  However, the general duties of confidentiality described in Section 1C(c) above may apply.  To the extent that data is also held on a computer information system in China, the work unit using the system is obliged to provide a sound security system.  It is not clear whether these regulations apply to entities such as the PPD.</w:t>
      </w:r>
    </w:p>
    <w:p>
      <w:pPr>
        <w:pStyle w:val="BodyText"/>
        <w:ind w:hanging="698" w:start="1418" w:end="0"/>
        <w:rPr/>
      </w:pPr>
      <w:r>
        <w:rPr/>
        <w:t>(g)</w:t>
        <w:tab/>
      </w:r>
      <w:r>
        <w:rPr>
          <w:b/>
          <w:i/>
        </w:rPr>
        <w:t>Would the PPD need to be incorporated in, or have a branch in, or otherwise be established or have a presence in China in order to establish and/or own and/or operate and/or administer the Pooling Point in China?  If so, please specify that type of entity(ies) the PPD would be required to establish in China.</w:t>
      </w:r>
    </w:p>
    <w:p>
      <w:pPr>
        <w:pStyle w:val="Normal"/>
        <w:ind w:start="1440" w:end="0"/>
        <w:rPr/>
      </w:pPr>
      <w:r>
        <w:rPr/>
        <w:t>Yes, we believe so.  See Section 3A(a) and (b) above.</w:t>
      </w:r>
    </w:p>
    <w:p>
      <w:pPr>
        <w:pStyle w:val="BodyText"/>
        <w:ind w:hanging="698" w:start="1418" w:end="0"/>
        <w:rPr/>
      </w:pPr>
      <w:r>
        <w:rPr/>
        <w:t>(h)</w:t>
        <w:tab/>
      </w:r>
      <w:r>
        <w:rPr>
          <w:b/>
          <w:i/>
        </w:rPr>
        <w:t>In the event that the PPD did establish a type of entity(ies) in China (either voluntarily or pursuant to any requirement as you may mention in your answer to Section 3A(g)), in that regard would any of your answers to the questions set out in this Section 3A(a) to (f), inclusive, above change in any respect and, if so, how?</w:t>
      </w:r>
    </w:p>
    <w:p>
      <w:pPr>
        <w:pStyle w:val="BodyText2"/>
        <w:rPr>
          <w:color w:val="000000"/>
        </w:rPr>
      </w:pPr>
      <w:r>
        <w:rPr/>
        <w:t>No, our answers would not change.</w:t>
      </w:r>
    </w:p>
    <w:p>
      <w:pPr>
        <w:pStyle w:val="Heading2"/>
        <w:ind w:hanging="0" w:start="0"/>
        <w:rPr/>
      </w:pPr>
      <w:bookmarkStart w:id="30" w:name="__RefHeading___Toc470337135"/>
      <w:bookmarkEnd w:id="30"/>
      <w:r>
        <w:rPr/>
        <w:t>Section 3B:  Connection of a Telecommunications Network to the Pooling Point</w:t>
      </w:r>
    </w:p>
    <w:p>
      <w:pPr>
        <w:pStyle w:val="BodyText"/>
        <w:rPr/>
      </w:pPr>
      <w:r>
        <w:rPr/>
        <w:t>ECI have advised that a Pooling Point would physically have connected to it various telecommunication networks, equipment, facilities or circuits (each a "Network"), each owned, leased or operated by various third parties (each such third party termed herein a "Network Operator").  ECI have asked that we make each of the following assumptions for the purposes of Section 3(B)(a) to (f):</w:t>
      </w:r>
    </w:p>
    <w:p>
      <w:pPr>
        <w:pStyle w:val="BodyText"/>
        <w:numPr>
          <w:ilvl w:val="0"/>
          <w:numId w:val="18"/>
        </w:numPr>
        <w:tabs>
          <w:tab w:val="clear" w:pos="720"/>
          <w:tab w:val="left" w:pos="1344" w:leader="none"/>
        </w:tabs>
        <w:ind w:hanging="635" w:start="1344" w:end="0"/>
        <w:rPr/>
      </w:pPr>
      <w:r>
        <w:rPr/>
        <w:t>the Network Operator is neither incorporated in, nor has a branch or other establishment or presence in China; and</w:t>
      </w:r>
    </w:p>
    <w:p>
      <w:pPr>
        <w:pStyle w:val="BodyText"/>
        <w:numPr>
          <w:ilvl w:val="0"/>
          <w:numId w:val="18"/>
        </w:numPr>
        <w:tabs>
          <w:tab w:val="clear" w:pos="720"/>
          <w:tab w:val="left" w:pos="1344" w:leader="none"/>
        </w:tabs>
        <w:ind w:hanging="635" w:start="1344" w:end="0"/>
        <w:rPr/>
      </w:pPr>
      <w:r>
        <w:rPr/>
        <w:t>the Network Operator is incorporated in, or has a branch or other establishment in China; and</w:t>
      </w:r>
    </w:p>
    <w:p>
      <w:pPr>
        <w:pStyle w:val="BodyText"/>
        <w:numPr>
          <w:ilvl w:val="0"/>
          <w:numId w:val="18"/>
        </w:numPr>
        <w:tabs>
          <w:tab w:val="clear" w:pos="720"/>
          <w:tab w:val="left" w:pos="1344" w:leader="none"/>
        </w:tabs>
        <w:ind w:hanging="635" w:start="1344" w:end="0"/>
        <w:rPr/>
      </w:pPr>
      <w:r>
        <w:rPr/>
        <w:t>that the Pooling Point is located at a particular address in a city or town in China.</w:t>
      </w:r>
    </w:p>
    <w:p>
      <w:pPr>
        <w:pStyle w:val="BodyText"/>
        <w:tabs>
          <w:tab w:val="clear" w:pos="720"/>
          <w:tab w:val="left" w:pos="993" w:leader="none"/>
        </w:tabs>
        <w:ind w:hanging="698" w:start="1418" w:end="0"/>
        <w:rPr/>
      </w:pPr>
      <w:r>
        <w:rPr/>
        <w:t>(a)(i)</w:t>
        <w:tab/>
      </w:r>
      <w:r>
        <w:rPr>
          <w:b/>
          <w:i/>
        </w:rPr>
        <w:t>How would the connection of a Network to a Pooling Point in China fall to be examined or categorised under the telecoms regulatory regime in China?</w:t>
      </w:r>
    </w:p>
    <w:p>
      <w:pPr>
        <w:pStyle w:val="BodyText2"/>
        <w:ind w:hanging="720" w:end="0"/>
        <w:rPr/>
      </w:pPr>
      <w:r>
        <w:rPr/>
        <w:t>(a)(ii)</w:t>
        <w:tab/>
      </w:r>
      <w:r>
        <w:rPr>
          <w:b/>
          <w:i/>
        </w:rPr>
        <w:t>What forms of telecommunications licences would be required, if any, and how would these be obtained, in respect of the connection of a Network by a Network Operator to a Pooling Point in China and would these need to be obtained by either the Network Operator concerned and/or the PPD?</w:t>
      </w:r>
    </w:p>
    <w:p>
      <w:pPr>
        <w:pStyle w:val="BodyText2"/>
        <w:ind w:hanging="720" w:end="0"/>
        <w:rPr/>
      </w:pPr>
      <w:r>
        <w:rPr/>
        <w:t>(a)(iii)</w:t>
        <w:tab/>
      </w:r>
      <w:r>
        <w:rPr>
          <w:b/>
          <w:i/>
        </w:rPr>
        <w:t>Which type of licence would be applicable, if any, e</w:t>
      </w:r>
      <w:r>
        <w:rPr/>
        <w:t>.</w:t>
      </w:r>
      <w:r>
        <w:rPr>
          <w:b/>
          <w:i/>
        </w:rPr>
        <w:t>g</w:t>
      </w:r>
      <w:r>
        <w:rPr/>
        <w:t>.</w:t>
      </w:r>
      <w:r>
        <w:rPr>
          <w:b/>
          <w:i/>
        </w:rPr>
        <w:t xml:space="preserve"> individual licence, class licence or exemption?</w:t>
      </w:r>
    </w:p>
    <w:p>
      <w:pPr>
        <w:pStyle w:val="BodyText2"/>
        <w:rPr/>
      </w:pPr>
      <w:r>
        <w:rPr/>
        <w:t xml:space="preserve">Since the Network Operator is providing supporting services or systems to the Pooling Point, it will require a telecommunications licence.  Accordingly, the Network Operator must be incorporated in China since a foreign company is not entitled (either through a branch or subsidiary/joint venture enterprise in China) to engage in the provision of telecommunication services.  </w:t>
      </w:r>
    </w:p>
    <w:p>
      <w:pPr>
        <w:pStyle w:val="BodyText2"/>
        <w:rPr/>
      </w:pPr>
      <w:r>
        <w:rPr/>
        <w:t>In order for the Network Operator to connect to the Pooling Point, the connection must be authorised by the terms of its telecommunications licence or special approval must be granted by the MII.  The interconnection agreement between the Network Operator and PPD may also require approval by the MII (see Section 1A(b) on regulations issued on the interconnection of networks).  Similarly for the Pooling Point Developer to connect the Network or any other telecommunications network to its Pooling Point, the connection must either be authorised by its terms of its telecommunications licence or special approval obtained from the MII.</w:t>
      </w:r>
    </w:p>
    <w:p>
      <w:pPr>
        <w:pStyle w:val="BodyText2"/>
        <w:rPr/>
      </w:pPr>
      <w:r>
        <w:rPr/>
        <w:t>According to regulations issued by the MII earlier this year, all telecommunication equipment used to access public or dedicated telecommunications networks are required to obtain a network access licence.</w:t>
      </w:r>
      <w:r>
        <w:rPr>
          <w:rStyle w:val="FootnoteCharacters"/>
          <w:rStyle w:val="FootnoteReference"/>
        </w:rPr>
        <w:footnoteReference w:id="48"/>
      </w:r>
      <w:r>
        <w:rPr/>
        <w:t xml:space="preserve">  Without such a licence, the equipment may not be sold, marketed or used to access networks in China.  The licensing system is implemented by the MII.  Foreign manufacturers are entitled to apply for licences through their branches in China or agents.  Licensed equipment will be made known to the public and users are free to use any licensed equipment for network access.  In ECI's case, where a Network relates to equipment to be used in order to access public or designated telecommunication networks in China, the Network Operator should first obtain a network access licence.  Otherwise, the PPD will not be entitled to use the equipment at the Pooling Point.</w:t>
      </w:r>
    </w:p>
    <w:p>
      <w:pPr>
        <w:pStyle w:val="BodyText"/>
        <w:ind w:hanging="698" w:start="1418" w:end="0"/>
        <w:rPr/>
      </w:pPr>
      <w:r>
        <w:rPr/>
        <w:t>(b)</w:t>
        <w:tab/>
      </w:r>
      <w:r>
        <w:rPr>
          <w:b/>
          <w:i/>
        </w:rPr>
        <w:t xml:space="preserve">Which other elements of the telecoms regulatory regime in China would affect the connection of a Network by a Network Operator to a Pooling Point in China?  For example, are there provisions relating to the publication or prices, limitation on prices, access control (third party access), interconnection/interoperability or technical interfacing which would affect such connection of a Network by a Network Operator to a Pooling Point in China? </w:t>
      </w:r>
    </w:p>
    <w:p>
      <w:pPr>
        <w:pStyle w:val="BodyText2"/>
        <w:rPr/>
      </w:pPr>
      <w:r>
        <w:rPr/>
        <w:t xml:space="preserve">See Sections 1A(b) and (e)(i) above.  In addition, as for any licensee, a PPD or Network Operator would have to comply with the conditions of its licence or approval, as well as any internal codes of practice, standards of performance or other guidelines issued by the MII.  </w:t>
      </w:r>
    </w:p>
    <w:p>
      <w:pPr>
        <w:pStyle w:val="BodyText"/>
        <w:tabs>
          <w:tab w:val="clear" w:pos="720"/>
          <w:tab w:val="left" w:pos="993" w:leader="none"/>
        </w:tabs>
        <w:ind w:hanging="698" w:start="1418" w:end="0"/>
        <w:rPr/>
      </w:pPr>
      <w:r>
        <w:rPr/>
        <w:t>(c)</w:t>
        <w:tab/>
        <w:t>(i)</w:t>
        <w:tab/>
      </w:r>
      <w:r>
        <w:rPr>
          <w:b/>
          <w:i/>
        </w:rPr>
        <w:t>If different licences are necessary for those who operate Networks as opposed to those who merely provide services over those Networks in China, into which such category or categories would a Network Operator  and/or PPD fall in respect of the connection of a Network to a Pooling Point?</w:t>
      </w:r>
    </w:p>
    <w:p>
      <w:pPr>
        <w:pStyle w:val="BodyText2"/>
        <w:rPr/>
      </w:pPr>
      <w:r>
        <w:rPr/>
        <w:t xml:space="preserve">The position is not clear.  The procedure for obtaining a licence for engaging in non-deregulated telecommunications services is not transparent.  The licensing regulations for deregulated telecommunications services do not refer to different classes of licence (although, broadly speaking, the application procedure is simpler for the permitted list of value-added services compared with other types of services).  It is not therefore apparent from published regulations what category of licence the Network Operator would require in order to connect to the Pooling Point.  </w:t>
      </w:r>
    </w:p>
    <w:p>
      <w:pPr>
        <w:pStyle w:val="BodyText"/>
        <w:tabs>
          <w:tab w:val="clear" w:pos="720"/>
          <w:tab w:val="left" w:pos="993" w:leader="none"/>
        </w:tabs>
        <w:ind w:hanging="709" w:start="1418" w:end="0"/>
        <w:rPr/>
      </w:pPr>
      <w:r>
        <w:rPr/>
        <w:t>(c)(ii)</w:t>
        <w:tab/>
      </w:r>
      <w:r>
        <w:rPr>
          <w:b/>
          <w:i/>
        </w:rPr>
        <w:t>Is the above position in Section 3B(c)(i) be altered, and if so how, if the ownership of the Network and the operation of it are not done by one and the same entity?</w:t>
      </w:r>
    </w:p>
    <w:p>
      <w:pPr>
        <w:pStyle w:val="BodyText2"/>
        <w:rPr/>
      </w:pPr>
      <w:r>
        <w:rPr/>
        <w:t xml:space="preserve">We do not believe the position is altered if ownership and operation of the Network is done by a different entity.  The licensing requirements apply in either event, where the entity is regarded as engaging in telecommunications business.  </w:t>
      </w:r>
    </w:p>
    <w:p>
      <w:pPr>
        <w:pStyle w:val="BodyText"/>
        <w:ind w:hanging="698" w:start="1418" w:end="0"/>
        <w:rPr/>
      </w:pPr>
      <w:r>
        <w:rPr/>
        <w:t>(d)</w:t>
        <w:tab/>
      </w:r>
      <w:r>
        <w:rPr>
          <w:b/>
          <w:i/>
        </w:rPr>
        <w:t>Would any other form of licences, permits, consents or other governmental approvals be required in China in order for a Network Operator to establish and/or own and/or operate a Network in China?  If so, please describe.</w:t>
      </w:r>
    </w:p>
    <w:p>
      <w:pPr>
        <w:pStyle w:val="BodyText2"/>
        <w:rPr/>
      </w:pPr>
      <w:r>
        <w:rPr/>
        <w:t>There are numerous other forms of licences and approvals etc. required in order for any entity in China (including the Network Operator) to establish and operate a business.  In the case of a Network Operator, such approvals would cover matters such as its proper establishment, import of equipment, remittance and settlement of foreign exchange for capital items, installation of cable and other infrastructure, use of land and buildings etc.</w:t>
      </w:r>
    </w:p>
    <w:p>
      <w:pPr>
        <w:pStyle w:val="BodyText"/>
        <w:ind w:hanging="698" w:start="1418" w:end="0"/>
        <w:rPr/>
      </w:pPr>
      <w:r>
        <w:rPr/>
        <w:t>(e)</w:t>
        <w:tab/>
      </w:r>
      <w:r>
        <w:rPr>
          <w:b/>
          <w:i/>
        </w:rPr>
        <w:t>Would any other form of licences, permits, consents or other governmental approvals be required in China in order for a Network Operator to connect a Network owned or operated by it to a Pooling Point located in China?  If so, please describe.</w:t>
      </w:r>
    </w:p>
    <w:p>
      <w:pPr>
        <w:pStyle w:val="BodyText2"/>
        <w:rPr/>
      </w:pPr>
      <w:r>
        <w:rPr/>
        <w:t xml:space="preserve">Apart from the telecommunications licences referred to in Section 3B(a), we are not aware of any other licence, permit, consent or government approval required in order to effect the connection of a Network to a Pooling Point.  </w:t>
      </w:r>
    </w:p>
    <w:p>
      <w:pPr>
        <w:pStyle w:val="BodyText"/>
        <w:ind w:hanging="698" w:start="1418" w:end="0"/>
        <w:rPr/>
      </w:pPr>
      <w:r>
        <w:rPr/>
        <w:t>(f)</w:t>
        <w:tab/>
      </w:r>
      <w:r>
        <w:rPr>
          <w:b/>
          <w:i/>
        </w:rPr>
        <w:t>For each of the respective situations set out in questions (a) to (e) of this Section 3(B), would a Network Operator and/or a PPD be subject to the rules and regulations of any regulatory body in China?  If so, please describe.</w:t>
      </w:r>
    </w:p>
    <w:p>
      <w:pPr>
        <w:pStyle w:val="BodyText2"/>
        <w:rPr/>
      </w:pPr>
      <w:r>
        <w:rPr/>
        <w:t>The regulatory bodies described in Section 3A(d) may also supervise and regulate the activities of the PPD and Network Operator.</w:t>
      </w:r>
    </w:p>
    <w:p>
      <w:pPr>
        <w:pStyle w:val="BodyText"/>
        <w:ind w:hanging="698" w:start="1418" w:end="0"/>
        <w:rPr/>
      </w:pPr>
      <w:r>
        <w:rPr/>
        <w:t>(g)</w:t>
        <w:tab/>
      </w:r>
      <w:r>
        <w:rPr>
          <w:b/>
          <w:i/>
        </w:rPr>
        <w:t>Would a Network Operator need to be incorporated in, form a branch in, or otherwise be established or have a presence in China in order for a Network Operator to establish, own or operate a Network in China or for it to connect a Network owned or operated by it to a Pooling Point located in China?  If so, (i) please describe the type of entity concerned and (ii) please state whether any of your answers to the questions set out in paragraphs 3B(a) to (f), inclusive, would change, and if so, how, in the event that a Network Operator established such entity in China.</w:t>
      </w:r>
    </w:p>
    <w:p>
      <w:pPr>
        <w:pStyle w:val="BodyText2"/>
        <w:rPr/>
      </w:pPr>
      <w:r>
        <w:rPr/>
        <w:t xml:space="preserve">We believe a Network Operator would have to be established in China (as a pure domestic entity without foreign participation) in order to obtain the necessary licence or approval from the MII to establish, own or operate a telecommunications network or facilities.  See Section 3B(a) above for further discussion of this issue. </w:t>
      </w:r>
    </w:p>
    <w:p>
      <w:pPr>
        <w:pStyle w:val="Heading2"/>
        <w:ind w:hanging="0" w:start="0"/>
        <w:rPr>
          <w:lang w:eastAsia="en-US"/>
        </w:rPr>
      </w:pPr>
      <w:bookmarkStart w:id="31" w:name="__RefHeading___Toc470337136"/>
      <w:bookmarkEnd w:id="31"/>
      <w:r>
        <w:rPr>
          <w:lang w:eastAsia="en-US"/>
        </w:rPr>
        <w:t>Section 3C:  Taxation</w:t>
      </w:r>
    </w:p>
    <w:p>
      <w:pPr>
        <w:pStyle w:val="BodyText"/>
        <w:ind w:hanging="698" w:start="1418" w:end="0"/>
        <w:rPr/>
      </w:pPr>
      <w:r>
        <w:rPr>
          <w:lang w:eastAsia="en-US"/>
        </w:rPr>
        <w:t>(a)</w:t>
        <w:tab/>
      </w:r>
      <w:r>
        <w:rPr>
          <w:b/>
          <w:i/>
          <w:lang w:eastAsia="en-US"/>
        </w:rPr>
        <w:t>If your answer to Section 3A(g) above is no, nevertheless, would a PPD be deemed to have a branch or establishment in China so as to bring such PPD within the scope of taxation in China, by virtue of its establishment, ownership, operation or administration of a Pooling Point in China?</w:t>
      </w:r>
    </w:p>
    <w:p>
      <w:pPr>
        <w:pStyle w:val="BodyText2"/>
        <w:rPr/>
      </w:pPr>
      <w:r>
        <w:rPr/>
        <w:t>Not applicable.</w:t>
      </w:r>
    </w:p>
    <w:p>
      <w:pPr>
        <w:pStyle w:val="BodyText"/>
        <w:ind w:hanging="698" w:start="1418" w:end="0"/>
        <w:rPr/>
      </w:pPr>
      <w:r>
        <w:rPr>
          <w:lang w:eastAsia="en-US"/>
        </w:rPr>
        <w:t>(b)</w:t>
        <w:tab/>
      </w:r>
      <w:r>
        <w:rPr>
          <w:b/>
          <w:i/>
          <w:lang w:eastAsia="en-US"/>
        </w:rPr>
        <w:t>If a PPD is incorporated in, or has a branch or other establishment in China, or is deemed to be incorporated in or to have a branch or other establishment in China, would it be subject to any taxes, duties or levies in China in respect of the interconnection facilities between Networks provided by the PPD through the Pooling Point? You may assume that the PPD will charge fees to parties for the provision of such interconnection facilities.</w:t>
      </w:r>
    </w:p>
    <w:p>
      <w:pPr>
        <w:pStyle w:val="BodyText2"/>
        <w:rPr>
          <w:lang w:eastAsia="en-US"/>
        </w:rPr>
      </w:pPr>
      <w:r>
        <w:rPr>
          <w:lang w:eastAsia="en-US"/>
        </w:rPr>
        <w:t>If the Pooling Point's establishment in China constitutes a PE it will be subject to PRC income tax on profits derived from its operation in China.  There will also be other tax liabilities including VAT and/or business tax depending on the kind of activities that the entity will conduct in China.</w:t>
      </w:r>
    </w:p>
    <w:p>
      <w:pPr>
        <w:pStyle w:val="BodyText"/>
        <w:ind w:hanging="698" w:start="1418" w:end="0"/>
        <w:rPr>
          <w:lang w:eastAsia="en-US"/>
        </w:rPr>
      </w:pPr>
      <w:r>
        <w:rPr>
          <w:lang w:eastAsia="en-US"/>
        </w:rPr>
        <w:t>(c)</w:t>
        <w:tab/>
      </w:r>
      <w:r>
        <w:rPr>
          <w:b/>
          <w:i/>
          <w:lang w:eastAsia="en-US"/>
        </w:rPr>
        <w:t>If a PPD is not incorporated in, and does not have a branch or other establishment in China, nor is deemed to be incorporated in, or to have a branch or other establishment in China, would it be subject to any taxes, duties or levies in China payable in respect of the interconnection facilities between Networks provided by the PPD through the Pooling Point? You may assume that the PPD will charge fees to parties for the provision of such interconnection facilities.</w:t>
      </w:r>
    </w:p>
    <w:p>
      <w:pPr>
        <w:pStyle w:val="Normal"/>
        <w:ind w:start="1418" w:end="0"/>
        <w:rPr>
          <w:lang w:eastAsia="en-US"/>
        </w:rPr>
      </w:pPr>
      <w:r>
        <w:rPr>
          <w:lang w:eastAsia="en-US"/>
        </w:rPr>
        <w:t>We do not believe it would be permitted for a Pooling Point to be owned/operated by a PPD unless the PPD was incorporated in China.</w:t>
      </w:r>
    </w:p>
    <w:p>
      <w:pPr>
        <w:pStyle w:val="BodyText"/>
        <w:ind w:hanging="698" w:start="1418" w:end="0"/>
        <w:rPr/>
      </w:pPr>
      <w:r>
        <w:rPr>
          <w:lang w:eastAsia="en-US"/>
        </w:rPr>
        <w:t>(d)</w:t>
        <w:tab/>
      </w:r>
      <w:r>
        <w:rPr>
          <w:b/>
          <w:i/>
          <w:lang w:eastAsia="en-US"/>
        </w:rPr>
        <w:t>If the answer to Section 3B(g) above is no, nevertheless, would a Network Operator be deemed to have a branch or establishment in China either by virtue of establishing, owning or operating a Network in China or by virtue of connecting a Network to a Pooling Point in China, so as to bring such Network Operator within the scope of taxation in China?</w:t>
      </w:r>
    </w:p>
    <w:p>
      <w:pPr>
        <w:pStyle w:val="BodyText2"/>
        <w:rPr>
          <w:lang w:eastAsia="en-US"/>
        </w:rPr>
      </w:pPr>
      <w:r>
        <w:rPr>
          <w:lang w:eastAsia="en-US"/>
        </w:rPr>
        <w:t xml:space="preserve">Not applicable. </w:t>
      </w:r>
    </w:p>
    <w:p>
      <w:pPr>
        <w:pStyle w:val="BodyText"/>
        <w:ind w:hanging="698" w:start="1418" w:end="0"/>
        <w:rPr/>
      </w:pPr>
      <w:r>
        <w:rPr>
          <w:lang w:eastAsia="en-US"/>
        </w:rPr>
        <w:t>(e)</w:t>
        <w:tab/>
      </w:r>
      <w:r>
        <w:rPr>
          <w:b/>
          <w:i/>
          <w:lang w:eastAsia="en-US"/>
        </w:rPr>
        <w:t>If a Network Operator is incorporated in or has a branch or other establishment in China, or is deemed to be incorporated in or to have a branch or other establishment in China, would it be subject to any taxes, duties or levies payable in China in respect of connection of a Network owned or operated by it to a Pooling Point in China?</w:t>
      </w:r>
    </w:p>
    <w:p>
      <w:pPr>
        <w:pStyle w:val="BodyText2"/>
        <w:rPr>
          <w:lang w:eastAsia="en-US"/>
        </w:rPr>
      </w:pPr>
      <w:r>
        <w:rPr>
          <w:lang w:eastAsia="en-US"/>
        </w:rPr>
        <w:t>If the Network Operator's establishment in China constitutes a PE, it is likely to be subject to PRC income tax on profits derived from its operation in China and there will be VAT and/or business tax consequences depending on the kind of activities that it will conduct in China.</w:t>
      </w:r>
    </w:p>
    <w:p>
      <w:pPr>
        <w:pStyle w:val="BodyText"/>
        <w:ind w:hanging="698" w:start="1418" w:end="0"/>
        <w:rPr/>
      </w:pPr>
      <w:r>
        <w:rPr>
          <w:lang w:eastAsia="en-US"/>
        </w:rPr>
        <w:t>(f)</w:t>
        <w:tab/>
      </w:r>
      <w:r>
        <w:rPr>
          <w:b/>
          <w:i/>
          <w:lang w:eastAsia="en-US"/>
        </w:rPr>
        <w:t>If a Network Operator is not incorporated in, and does not have a branch or other establishment in China, nor is deemed to be incorporated in, or to have a branch or other establishment in China, would it be subject to any taxes, duties or levies payable in China in respect of the connection of a Network owned or operated by it to a Pooling Point in China?</w:t>
      </w:r>
    </w:p>
    <w:p>
      <w:pPr>
        <w:sectPr>
          <w:headerReference w:type="default" r:id="rId16"/>
          <w:headerReference w:type="first" r:id="rId17"/>
          <w:footerReference w:type="default" r:id="rId18"/>
          <w:footerReference w:type="first" r:id="rId19"/>
          <w:footnotePr>
            <w:numFmt w:val="decimal"/>
          </w:footnotePr>
          <w:type w:val="nextPage"/>
          <w:pgSz w:w="11906" w:h="16838"/>
          <w:pgMar w:left="1701" w:right="1701" w:gutter="0" w:header="720" w:top="1440" w:footer="283" w:bottom="1134"/>
          <w:pgNumType w:start="48" w:fmt="decimal"/>
          <w:formProt w:val="false"/>
          <w:textDirection w:val="lrTb"/>
          <w:docGrid w:type="default" w:linePitch="360" w:charSpace="0"/>
        </w:sectPr>
        <w:pStyle w:val="BodyText2"/>
        <w:rPr/>
      </w:pPr>
      <w:r>
        <w:rPr/>
        <w:t>We do not believe it would be permitted for a Network Operator to establish or operate telecommunications networks or facilities in China, unless it was incorporated in China.</w:t>
      </w:r>
    </w:p>
    <w:p>
      <w:pPr>
        <w:pStyle w:val="Heading1"/>
        <w:ind w:hanging="0" w:start="0"/>
        <w:rPr>
          <w:kern w:val="2"/>
        </w:rPr>
      </w:pPr>
      <w:bookmarkStart w:id="32" w:name="__RefHeading___Toc470337137"/>
      <w:bookmarkEnd w:id="32"/>
      <w:r>
        <w:rPr>
          <w:kern w:val="2"/>
        </w:rPr>
        <w:t xml:space="preserve">SECTION 4 - TRANSACTIONS OVER A SEGMENT BETWEEN POOLING POINTS, EITHER OR BOTH OF WHICH MAY BE LOCATED IN </w:t>
      </w:r>
      <w:r>
        <w:rPr/>
        <w:t>China</w:t>
      </w:r>
    </w:p>
    <w:p>
      <w:pPr>
        <w:pStyle w:val="BodyText"/>
        <w:rPr/>
      </w:pPr>
      <w:r>
        <w:rPr/>
        <w:t>ECI has asked us to assume for the purposes of this section that the Segment which is the subject of a Transaction is between either:</w:t>
      </w:r>
    </w:p>
    <w:p>
      <w:pPr>
        <w:pStyle w:val="Heading4"/>
        <w:ind w:hanging="0" w:start="0"/>
        <w:rPr/>
      </w:pPr>
      <w:r>
        <w:rPr/>
        <w:t>a Pooling Point located outside of China and a Pooling Point located in China; or</w:t>
      </w:r>
    </w:p>
    <w:p>
      <w:pPr>
        <w:pStyle w:val="Heading4"/>
        <w:ind w:hanging="0" w:start="0"/>
        <w:rPr/>
      </w:pPr>
      <w:r>
        <w:rPr/>
        <w:t>Pooling Points, each of which is located in China; and</w:t>
      </w:r>
    </w:p>
    <w:p>
      <w:pPr>
        <w:pStyle w:val="Heading4"/>
        <w:ind w:hanging="0" w:start="0"/>
        <w:rPr/>
      </w:pPr>
      <w:r>
        <w:rPr/>
        <w:t>that one of two scenarios exists:</w:t>
      </w:r>
    </w:p>
    <w:p>
      <w:pPr>
        <w:pStyle w:val="Heading5"/>
        <w:ind w:hanging="0" w:start="0"/>
        <w:rPr/>
      </w:pPr>
      <w:r>
        <w:rPr/>
        <w:t>in the first instance, that neither of the Buyer and Seller in respect of such Transaction is incorporated in, or has a branch or other establishment in China, nor is deemed to have a branch or other establishment or presence in China; and</w:t>
      </w:r>
    </w:p>
    <w:p>
      <w:pPr>
        <w:pStyle w:val="Heading5"/>
        <w:ind w:hanging="0" w:start="0"/>
        <w:rPr/>
      </w:pPr>
      <w:r>
        <w:rPr/>
        <w:t>secondly, that either or both of the Buyer and Seller in respect of such Transaction is incorporated in, or has a branch or other establishment in China.</w:t>
      </w:r>
    </w:p>
    <w:p>
      <w:pPr>
        <w:pStyle w:val="Heading4"/>
        <w:numPr>
          <w:ilvl w:val="3"/>
          <w:numId w:val="30"/>
        </w:numPr>
        <w:ind w:hanging="0" w:start="0"/>
        <w:rPr>
          <w:b/>
          <w:i/>
          <w:i/>
        </w:rPr>
      </w:pPr>
      <w:r>
        <w:rPr>
          <w:b/>
          <w:i/>
        </w:rPr>
        <w:t>In respect of each of the various permutations set out in the above assumptions, would your answers to any of the questions set out in Section 1 and 2 of the Survey Questionnaire change in any respect and, if so, how?  Please describe</w:t>
      </w:r>
      <w:r>
        <w:rPr/>
        <w:t>.</w:t>
      </w:r>
    </w:p>
    <w:p>
      <w:pPr>
        <w:pStyle w:val="BodyText2"/>
        <w:rPr/>
      </w:pPr>
      <w:r>
        <w:rPr/>
        <w:t>Other than as stated below, our answers to the questions set out in Section 1 and 2 of the Survey Questionnaire would not change.</w:t>
      </w:r>
    </w:p>
    <w:p>
      <w:pPr>
        <w:pStyle w:val="BodyText2"/>
        <w:rPr/>
      </w:pPr>
      <w:r>
        <w:rPr/>
        <w:t xml:space="preserve">As previously mentioned, we do not believe that ECI would be permitted to establish an entity in China to enter into the Transactions.  Thus, the scenario in paragraph (c)(ii) above where </w:t>
      </w:r>
      <w:r>
        <w:rPr>
          <w:i/>
        </w:rPr>
        <w:t>both</w:t>
      </w:r>
      <w:r>
        <w:rPr/>
        <w:t xml:space="preserve"> the Buyer and Seller are incorporated, or have a branch or establishment, in China seems highly unlikely.</w:t>
      </w:r>
    </w:p>
    <w:p>
      <w:pPr>
        <w:pStyle w:val="BodyText2"/>
        <w:rPr>
          <w:b/>
          <w:i/>
          <w:i/>
        </w:rPr>
      </w:pPr>
      <w:r>
        <w:rPr>
          <w:b/>
          <w:i/>
        </w:rPr>
        <w:t>Section 1A(a)(i) and (ii)</w:t>
      </w:r>
    </w:p>
    <w:p>
      <w:pPr>
        <w:pStyle w:val="BodyText2"/>
        <w:rPr/>
      </w:pPr>
      <w:r>
        <w:rPr/>
        <w:t xml:space="preserve">Our responses in respect of the telecommunications regulatory regime would not change.  The governing principle will still be whether the Buyer or Seller is engaged in telecommunications business in China.  </w:t>
      </w:r>
    </w:p>
    <w:p>
      <w:pPr>
        <w:pStyle w:val="BodyText2"/>
        <w:rPr/>
      </w:pPr>
      <w:r>
        <w:rPr/>
        <w:t>However, in our view, where the Segment crosses into China (or both end points are located in China), the possibility of regarding the Transactions as outside MII's purview seems much less likely.  As such, some form of licence or approval from the MII to conduct the Transactions would in all likelihood be required.  We believe this may well be the position even if both the Buyer and the Seller were incorporated outside China.</w:t>
      </w:r>
    </w:p>
    <w:p>
      <w:pPr>
        <w:pStyle w:val="BodyText2"/>
        <w:rPr/>
      </w:pPr>
      <w:r>
        <w:rPr/>
        <w:t xml:space="preserve">Insofar as ECI sets up and operates at least one Pooling Point and the related PPD and PPA in China, our responses under Section 2 with respect to the establishment of a futures market in China would remain unchanged.  Otherwise, the Pooling Point, PPD and PPA set up and operated by ECI outside China would fall outside the jurisdiction of Chinese law. </w:t>
      </w:r>
    </w:p>
    <w:p>
      <w:pPr>
        <w:pStyle w:val="BodyText2"/>
        <w:rPr>
          <w:i/>
          <w:i/>
        </w:rPr>
      </w:pPr>
      <w:r>
        <w:rPr/>
        <w:t>To the extent that the Buyer and/or Seller is incorporated in China, our responses under Section 2 with respect to futures transactions would remain unchanged.</w:t>
      </w:r>
    </w:p>
    <w:p>
      <w:pPr>
        <w:pStyle w:val="Heading4"/>
        <w:ind w:hanging="0" w:start="0"/>
        <w:rPr>
          <w:b/>
          <w:i/>
          <w:i/>
        </w:rPr>
      </w:pPr>
      <w:r>
        <w:rPr>
          <w:b/>
          <w:i/>
        </w:rPr>
        <w:t>Does the telecoms licensing regime in China distinguish, in any respect, between domestic operations and operations involving other territories and, if so, how?</w:t>
      </w:r>
    </w:p>
    <w:p>
      <w:pPr>
        <w:pStyle w:val="BodyText2"/>
        <w:rPr/>
      </w:pPr>
      <w:r>
        <w:rPr/>
        <w:t xml:space="preserve">The MII's jurisdiction is in respect of telecommunications business in China (excluding, for this purpose, Hong Kong).  Accordingly, in principle, the licensing regime would not extend to telecommunications operations and services which did not involve China.  </w:t>
      </w:r>
    </w:p>
    <w:p>
      <w:pPr>
        <w:pStyle w:val="BodyText2"/>
        <w:rPr/>
      </w:pPr>
      <w:r>
        <w:rPr/>
        <w:t>As stated in Section 1A(a)(ii), different licences are granted in respect of international and domestic services by the MII.  International telecommunications business is the province of those Ministry-affiliated enterprises granted a special licence by the MII to engage in such operations.  Other operators are expected to use the networks managed by the Ministry-affiliated enterprises for their long distance telecommunications.</w:t>
      </w:r>
    </w:p>
    <w:p>
      <w:pPr>
        <w:pStyle w:val="MainHeading"/>
        <w:spacing w:before="0" w:after="0"/>
        <w:rPr/>
      </w:pPr>
      <w:r>
        <w:rPr/>
        <w:t>Clifford Chance</w:t>
      </w:r>
    </w:p>
    <w:p>
      <w:pPr>
        <w:pStyle w:val="Normal"/>
        <w:rPr>
          <w:b/>
        </w:rPr>
      </w:pPr>
      <w:r>
        <w:rPr>
          <w:b/>
        </w:rPr>
        <w:t>20 December 1999</w:t>
      </w:r>
    </w:p>
    <w:p>
      <w:pPr>
        <w:pStyle w:val="Normal"/>
        <w:rPr>
          <w:b/>
        </w:rPr>
      </w:pPr>
      <w:r>
        <w:rPr>
          <w:b/>
        </w:rPr>
      </w:r>
      <w:r>
        <w:br w:type="page"/>
      </w:r>
    </w:p>
    <w:p>
      <w:pPr>
        <w:pStyle w:val="Normal"/>
        <w:jc w:val="center"/>
        <w:rPr>
          <w:b/>
        </w:rPr>
      </w:pPr>
      <w:r>
        <w:rPr>
          <w:b/>
        </w:rPr>
        <w:t>Annex</w:t>
      </w:r>
    </w:p>
    <w:p>
      <w:pPr>
        <w:pStyle w:val="Normal"/>
        <w:jc w:val="center"/>
        <w:rPr>
          <w:b/>
        </w:rPr>
      </w:pPr>
      <w:r>
        <w:rPr>
          <w:b/>
        </w:rPr>
        <w:t>Survey Questionnaire</w:t>
      </w:r>
    </w:p>
    <w:p>
      <w:pPr>
        <w:pStyle w:val="Normal"/>
        <w:jc w:val="center"/>
        <w:rPr>
          <w:b/>
        </w:rPr>
      </w:pPr>
      <w:r>
        <w:rPr>
          <w:b/>
        </w:rPr>
      </w:r>
    </w:p>
    <w:p>
      <w:pPr>
        <w:pStyle w:val="Normal"/>
        <w:jc w:val="center"/>
        <w:rPr>
          <w:b/>
          <w:u w:val="single"/>
          <w:lang w:val="en-US"/>
        </w:rPr>
      </w:pPr>
      <w:r>
        <w:rPr>
          <w:b/>
          <w:u w:val="single"/>
          <w:lang w:val="en-US"/>
        </w:rPr>
        <w:t>ENRON COMMUNICATIONS, INC.</w:t>
      </w:r>
    </w:p>
    <w:p>
      <w:pPr>
        <w:pStyle w:val="Normal"/>
        <w:jc w:val="center"/>
        <w:rPr>
          <w:b/>
          <w:u w:val="single"/>
          <w:lang w:val="en-US"/>
        </w:rPr>
      </w:pPr>
      <w:r>
        <w:rPr>
          <w:b/>
          <w:u w:val="single"/>
          <w:lang w:val="en-US"/>
        </w:rPr>
        <w:t>SURVEY OF THE LAWS OF CHINA REGARDING TRADING OF BANDWIDTH AND ESTABLISHMENT OF BANDWIDTH POOLING POINTS</w:t>
      </w:r>
    </w:p>
    <w:p>
      <w:pPr>
        <w:pStyle w:val="Normal"/>
        <w:rPr>
          <w:lang w:val="en-US"/>
        </w:rPr>
      </w:pPr>
      <w:r>
        <w:rPr>
          <w:lang w:val="en-US"/>
        </w:rPr>
        <w:t>Enron Communications, Inc. (“ECI”) requests you to provide them with an estimate of your fees and charges and basis therefor that would be incurred in providing them with answers responding to the questions set forth below.</w:t>
      </w:r>
    </w:p>
    <w:p>
      <w:pPr>
        <w:pStyle w:val="Normal"/>
        <w:rPr>
          <w:b/>
          <w:u w:val="single"/>
          <w:lang w:val="en-US"/>
        </w:rPr>
      </w:pPr>
      <w:r>
        <w:rPr>
          <w:b/>
          <w:u w:val="single"/>
          <w:lang w:val="en-US"/>
        </w:rPr>
        <w:t>Glossary of terms used in this Memorandum</w:t>
      </w:r>
    </w:p>
    <w:p>
      <w:pPr>
        <w:pStyle w:val="Normal"/>
        <w:rPr>
          <w:lang w:val="en-US"/>
        </w:rPr>
      </w:pPr>
      <w:r>
        <w:rPr>
          <w:lang w:val="en-US"/>
        </w:rPr>
        <w:t xml:space="preserve">In this questionnaire, the following words bear the following meanings: </w:t>
      </w:r>
    </w:p>
    <w:p>
      <w:pPr>
        <w:pStyle w:val="Normal"/>
        <w:rPr>
          <w:lang w:val="en-US"/>
        </w:rPr>
      </w:pPr>
      <w:r>
        <w:rPr>
          <w:lang w:val="en-US"/>
        </w:rPr>
        <w:t>“</w:t>
      </w:r>
      <w:r>
        <w:rPr>
          <w:lang w:val="en-US"/>
        </w:rPr>
        <w:t>Bandwidth” means the capacity, measured in Mbps (million bits per second), of an electronically continuous path (e.g., by way of fiber optic or other forms of circuits) over a Segment, which path is designed for the electrical transfer of a signal, message or other form of data from and between such locations without loss of information content due to attenuation, distortion or noise.</w:t>
      </w:r>
    </w:p>
    <w:p>
      <w:pPr>
        <w:pStyle w:val="Normal"/>
        <w:rPr/>
      </w:pPr>
      <w:r>
        <w:rPr/>
        <w:t>“</w:t>
      </w:r>
      <w:r>
        <w:rPr/>
        <w:t>Pooling Point” means a type of telecommunications equipment (and all hardware and software ancillary thereto) either owned and/or operated and/or administered by an entity or entities (which collectively, for ease of reference in this Memorandum, is termed a “PPD”), which provides for the interconnection between various telecommunications networks, equipment, facilities or circuits (which themselves are owned, leased or operated independently of the Pooling Point) and which also provides, inter alia, for the routing of data and of other information in electronic form between such telecommunications networks, equipment, facilities or circuits.</w:t>
      </w:r>
    </w:p>
    <w:p>
      <w:pPr>
        <w:pStyle w:val="Normal"/>
        <w:rPr>
          <w:lang w:val="en-US"/>
        </w:rPr>
      </w:pPr>
      <w:r>
        <w:rPr>
          <w:lang w:val="en-US"/>
        </w:rPr>
        <w:t>“</w:t>
      </w:r>
      <w:r>
        <w:rPr>
          <w:lang w:val="en-US"/>
        </w:rPr>
        <w:t>Segment” means the electronically continuous path between two geographical reference points (e.g., between two specific addresses one in e.g., New York City and are in London, respectively).</w:t>
      </w:r>
    </w:p>
    <w:p>
      <w:pPr>
        <w:pStyle w:val="Normal"/>
        <w:rPr>
          <w:b/>
        </w:rPr>
      </w:pPr>
      <w:r>
        <w:rPr>
          <w:b/>
        </w:rPr>
        <w:t>Background to ECI and to this Memorandum</w:t>
      </w:r>
    </w:p>
    <w:p>
      <w:pPr>
        <w:pStyle w:val="Normal"/>
        <w:rPr>
          <w:lang w:val="en-US"/>
        </w:rPr>
      </w:pPr>
      <w:r>
        <w:rPr>
          <w:lang w:val="en-US"/>
        </w:rPr>
        <w:t>We would draw to your attention the paper copy and the CD-Rom version of Enron's "Market Starter Kit "enclosed with this questionnaire which sets out important background information as to the market in Bandwidth which ECI is wishing to create.</w:t>
      </w:r>
    </w:p>
    <w:p>
      <w:pPr>
        <w:pStyle w:val="Normal"/>
        <w:rPr>
          <w:lang w:val="en-US"/>
        </w:rPr>
      </w:pPr>
      <w:r>
        <w:rPr>
          <w:lang w:val="en-US"/>
        </w:rPr>
        <w:t xml:space="preserve">ECI, a wholly-owned subsidiary  of Enron Corp., is a company incorporated in the State of Oregon in the United States of America, with its headquarters in Portland, Oregon.  Please note that it may, in due course, also have Bandwidth trading personnel located in Houston, Texas and in London, England. </w:t>
      </w:r>
    </w:p>
    <w:p>
      <w:pPr>
        <w:pStyle w:val="Normal"/>
        <w:rPr>
          <w:lang w:val="en-US"/>
        </w:rPr>
      </w:pPr>
      <w:r>
        <w:rPr>
          <w:lang w:val="en-US"/>
        </w:rPr>
        <w:t>ECI wishes to take your advice concerning transactions into which it wishes to enter for the purchase or sale of Bandwidth respectively from or to entities which have a presence in China (see Sections 1, 2 and 4 of this Memorandum below); it also wishes to take your advice concerning the establishment of a physical Bandwidth Pooling Point(s) in China (see Section 3 of this questionnaire below).  The matters dealt with in all of Sections 1 to 4, inclusive, in this questionnaire are collectively referred to as the "Proposal".  The questions which ECI require you to address in respect of these various scenarios are set forth in the respective Sections 1, 2, 3 and 4 below.</w:t>
      </w:r>
    </w:p>
    <w:p>
      <w:pPr>
        <w:pStyle w:val="Normal"/>
        <w:rPr>
          <w:b/>
          <w:lang w:val="en-US"/>
        </w:rPr>
      </w:pPr>
      <w:r>
        <w:rPr>
          <w:b/>
          <w:lang w:val="en-US"/>
        </w:rPr>
        <w:t>Objective of this questionnaire</w:t>
      </w:r>
    </w:p>
    <w:p>
      <w:pPr>
        <w:pStyle w:val="Normal"/>
        <w:rPr>
          <w:lang w:val="en-US"/>
        </w:rPr>
      </w:pPr>
      <w:r>
        <w:rPr>
          <w:lang w:val="en-US"/>
        </w:rPr>
        <w:t>To obtain advice on:</w:t>
      </w:r>
    </w:p>
    <w:p>
      <w:pPr>
        <w:pStyle w:val="Normal"/>
        <w:numPr>
          <w:ilvl w:val="0"/>
          <w:numId w:val="27"/>
        </w:numPr>
        <w:rPr>
          <w:lang w:val="en-US"/>
        </w:rPr>
      </w:pPr>
      <w:r>
        <w:rPr>
          <w:lang w:val="en-US"/>
        </w:rPr>
        <w:t>The telecommunications (“telecoms”) regulatory regime in China so far as relevant to the implementation of the Proposal in China;</w:t>
      </w:r>
    </w:p>
    <w:p>
      <w:pPr>
        <w:pStyle w:val="Normal"/>
        <w:numPr>
          <w:ilvl w:val="0"/>
          <w:numId w:val="27"/>
        </w:numPr>
        <w:rPr>
          <w:lang w:val="en-US"/>
        </w:rPr>
      </w:pPr>
      <w:r>
        <w:rPr>
          <w:lang w:val="en-US"/>
        </w:rPr>
        <w:t>The possible impact of competition law in China generally on relevant aspects of the Proposal;</w:t>
      </w:r>
    </w:p>
    <w:p>
      <w:pPr>
        <w:pStyle w:val="Normal"/>
        <w:numPr>
          <w:ilvl w:val="0"/>
          <w:numId w:val="27"/>
        </w:numPr>
        <w:rPr>
          <w:rFonts w:ascii="Times New Roman" w:hAnsi="Times New Roman" w:cs="Times New Roman"/>
          <w:sz w:val="24"/>
          <w:lang w:val="en-US"/>
        </w:rPr>
      </w:pPr>
      <w:r>
        <w:rPr>
          <w:lang w:val="en-US"/>
        </w:rPr>
        <w:t xml:space="preserve">Other legal/regulatory provisions of which local counsel is aware which may impinge on the implementation of the Proposal (N.B. </w:t>
      </w:r>
      <w:r>
        <w:rPr>
          <w:u w:val="single"/>
          <w:lang w:val="en-US"/>
        </w:rPr>
        <w:t xml:space="preserve">not </w:t>
      </w:r>
      <w:r>
        <w:rPr>
          <w:lang w:val="en-US"/>
        </w:rPr>
        <w:t>financial/securities law regulatory aspects except in so far as the trading of Bandwidth may be regarded as constituting the operation of a financial market or exchange which is subject to financial market supervision, and where such supervision may impinge upon the implementation of the Proposal in China).</w:t>
      </w:r>
      <w:r>
        <w:br w:type="page"/>
      </w:r>
    </w:p>
    <w:p>
      <w:pPr>
        <w:pStyle w:val="Normal"/>
        <w:keepNext w:val="true"/>
        <w:jc w:val="center"/>
        <w:rPr>
          <w:rFonts w:ascii="Times New Roman" w:hAnsi="Times New Roman" w:cs="Times New Roman"/>
          <w:b/>
          <w:sz w:val="24"/>
          <w:lang w:val="en-US"/>
        </w:rPr>
      </w:pPr>
      <w:r>
        <w:rPr>
          <w:rFonts w:cs="Times New Roman" w:ascii="Times New Roman" w:hAnsi="Times New Roman"/>
          <w:b/>
          <w:sz w:val="24"/>
          <w:lang w:val="en-US"/>
        </w:rPr>
      </w:r>
    </w:p>
    <w:p>
      <w:pPr>
        <w:pStyle w:val="Normal"/>
        <w:keepNext w:val="true"/>
        <w:jc w:val="center"/>
        <w:rPr>
          <w:b/>
        </w:rPr>
      </w:pPr>
      <w:r>
        <w:rPr>
          <w:b/>
        </w:rPr>
        <w:t>SECTION 1. - BANDWIDTH TRADING TRANSACTIONS</w:t>
      </w:r>
    </w:p>
    <w:p>
      <w:pPr>
        <w:pStyle w:val="Normal"/>
        <w:keepNext w:val="true"/>
        <w:rPr>
          <w:lang w:val="en-US"/>
        </w:rPr>
      </w:pPr>
      <w:r>
        <w:rPr>
          <w:i/>
          <w:lang w:val="en-US"/>
        </w:rPr>
        <w:t>Introduction and explanation of a Bandwidth trading transaction</w:t>
      </w:r>
    </w:p>
    <w:p>
      <w:pPr>
        <w:pStyle w:val="Normal"/>
        <w:rPr>
          <w:lang w:val="en-US"/>
        </w:rPr>
      </w:pPr>
      <w:r>
        <w:rPr>
          <w:lang w:val="en-US"/>
        </w:rPr>
        <w:t>ECI is intending to enter, as principal, into transactions with third parties in China (each a “Local Counterparty”) whereby ECI would either:</w:t>
      </w:r>
    </w:p>
    <w:p>
      <w:pPr>
        <w:pStyle w:val="Normal"/>
        <w:ind w:hanging="709" w:start="709" w:end="0"/>
        <w:rPr/>
      </w:pPr>
      <w:r>
        <w:rPr/>
        <w:t>(a)</w:t>
        <w:tab/>
        <w:t xml:space="preserve">buy from the Local Counterparty an amount or amounts of Bandwidth over a Segment for a particular duration of time for </w:t>
      </w:r>
      <w:r>
        <w:rPr>
          <w:i/>
        </w:rPr>
        <w:t xml:space="preserve">physical </w:t>
      </w:r>
      <w:r>
        <w:rPr/>
        <w:t>delivery by the Local Counterparty to ECI in return for monetary consideration payable by ECI to the Local Counterparty; or</w:t>
      </w:r>
    </w:p>
    <w:p>
      <w:pPr>
        <w:pStyle w:val="Normal"/>
        <w:ind w:hanging="709" w:start="709" w:end="0"/>
        <w:rPr/>
      </w:pPr>
      <w:r>
        <w:rPr/>
        <w:t>(b)</w:t>
        <w:tab/>
        <w:t xml:space="preserve">sell to the Local Counterparty an amount or amounts of Bandwidth over a Segment for a particular duration of time for </w:t>
      </w:r>
      <w:r>
        <w:rPr>
          <w:i/>
        </w:rPr>
        <w:t xml:space="preserve">physical </w:t>
      </w:r>
      <w:r>
        <w:rPr/>
        <w:t>delivery by ECI to the Local Counterparty in return for monetary consideration payable by the Local Counterparty to ECI.</w:t>
      </w:r>
    </w:p>
    <w:p>
      <w:pPr>
        <w:pStyle w:val="Normal"/>
        <w:rPr>
          <w:lang w:val="en-US"/>
        </w:rPr>
      </w:pPr>
      <w:r>
        <w:rPr>
          <w:lang w:val="en-US"/>
        </w:rPr>
        <w:t xml:space="preserve">Each type of transaction referred to in (a) and (b) above is herein referred to as “Transactions”.  </w:t>
      </w:r>
    </w:p>
    <w:p>
      <w:pPr>
        <w:pStyle w:val="Normal"/>
        <w:rPr/>
      </w:pPr>
      <w:r>
        <w:rPr/>
        <w:t xml:space="preserve">In addition, it is intended that each Transaction would be entered into by means of a telephone call (or by way of exchange of electronic messages, e.g., via the internet) between the </w:t>
      </w:r>
      <w:r>
        <w:rPr>
          <w:lang w:val="en-US"/>
        </w:rPr>
        <w:t xml:space="preserve">Local Counterparty </w:t>
      </w:r>
      <w:r>
        <w:rPr/>
        <w:t xml:space="preserve">and an ECI trader based, probably, in Houston, Texas, such call (or the exchange of electronic messages) being initiated either by a representative of the </w:t>
      </w:r>
      <w:r>
        <w:rPr>
          <w:lang w:val="en-US"/>
        </w:rPr>
        <w:t>Local Counterparty</w:t>
      </w:r>
      <w:r>
        <w:rPr/>
        <w:t xml:space="preserve"> or by the ECI trader.  The parties intend and desire that each Transaction would be contractually binding from the moment agreed to in the telephone call (or upon the exchange of the electronic messages).  </w:t>
      </w:r>
    </w:p>
    <w:p>
      <w:pPr>
        <w:pStyle w:val="Normal"/>
        <w:rPr>
          <w:i/>
          <w:i/>
        </w:rPr>
      </w:pPr>
      <w:r>
        <w:rPr>
          <w:i/>
        </w:rPr>
        <w:t>Documenting the Transactions</w:t>
      </w:r>
    </w:p>
    <w:p>
      <w:pPr>
        <w:pStyle w:val="Normal"/>
        <w:rPr/>
      </w:pPr>
      <w:r>
        <w:rPr/>
        <w:t>Each Transaction would be documented in one or other of the following ways:</w:t>
      </w:r>
    </w:p>
    <w:p>
      <w:pPr>
        <w:pStyle w:val="Normal"/>
        <w:ind w:hanging="709" w:start="709" w:end="0"/>
        <w:rPr/>
      </w:pPr>
      <w:r>
        <w:rPr/>
        <w:t>(1)</w:t>
        <w:tab/>
        <w:t xml:space="preserve">before ECI and a </w:t>
      </w:r>
      <w:r>
        <w:rPr>
          <w:lang w:val="en-US"/>
        </w:rPr>
        <w:t>Local Counterparty</w:t>
      </w:r>
      <w:r>
        <w:rPr/>
        <w:t xml:space="preserve"> enters into any Transaction, both ECI and the </w:t>
      </w:r>
      <w:r>
        <w:rPr>
          <w:lang w:val="en-US"/>
        </w:rPr>
        <w:t>Local Counterparty</w:t>
      </w:r>
      <w:r>
        <w:rPr/>
        <w:t xml:space="preserve"> shall have entered into a Master Agreement substantially in the format of the draft copy thereof attached to this Memorandum as Annex A (the “Master Agreement”) which will govern all the Transactions and each time a Transaction is entered into orally over the telephone (or by exchange of electronic messages) pursuant to that Master Agreement, each such Transaction shall be confirmed in writing (and in the manner set out in Section 1.3 of the Master Agreement) sent by ECI to the </w:t>
      </w:r>
      <w:r>
        <w:rPr>
          <w:lang w:val="en-US"/>
        </w:rPr>
        <w:t>Local Counterparty</w:t>
      </w:r>
      <w:r>
        <w:rPr/>
        <w:t xml:space="preserve"> substantially in the form of the confirmation which is annexed to the Master Agreement as Exhibit A; or</w:t>
      </w:r>
    </w:p>
    <w:p>
      <w:pPr>
        <w:pStyle w:val="Normal"/>
        <w:ind w:hanging="709" w:start="709" w:end="0"/>
        <w:rPr/>
      </w:pPr>
      <w:r>
        <w:rPr/>
        <w:t>(2)</w:t>
        <w:tab/>
        <w:t xml:space="preserve">where ECI and a </w:t>
      </w:r>
      <w:r>
        <w:rPr>
          <w:lang w:val="en-US"/>
        </w:rPr>
        <w:t>Local Counterparty</w:t>
      </w:r>
      <w:r>
        <w:rPr/>
        <w:t xml:space="preserve"> have not already entered into a Master Agreement, after ECI and a </w:t>
      </w:r>
      <w:r>
        <w:rPr>
          <w:lang w:val="en-US"/>
        </w:rPr>
        <w:t>Local Counterparty</w:t>
      </w:r>
      <w:r>
        <w:rPr/>
        <w:t xml:space="preserve"> has entered into a Transaction orally over the telephone (or by exchange of electronic messages), ECI will send to the </w:t>
      </w:r>
      <w:r>
        <w:rPr>
          <w:lang w:val="en-US"/>
        </w:rPr>
        <w:t>Local Counterparty</w:t>
      </w:r>
      <w:r>
        <w:rPr/>
        <w:t xml:space="preserve"> a confirmation to which will be attached General Terms and Conditions substantially in the form of the draft attached to this Memorandum as Annex B (“GTCs”) with a view to such GTCs governing the Transaction.  In this scenario, you may assume that the </w:t>
      </w:r>
      <w:r>
        <w:rPr>
          <w:lang w:val="en-US"/>
        </w:rPr>
        <w:t>Local Counterparty</w:t>
      </w:r>
      <w:r>
        <w:rPr/>
        <w:t xml:space="preserve">, prior to entering into any Transactions with ECI,  has already seen and agreed to the GTCs. </w:t>
      </w:r>
    </w:p>
    <w:p>
      <w:pPr>
        <w:pStyle w:val="Normal"/>
        <w:ind w:hanging="709" w:start="709" w:end="0"/>
        <w:rPr/>
      </w:pPr>
      <w:r>
        <w:rPr>
          <w:i/>
        </w:rPr>
        <w:t>Assumptions</w:t>
      </w:r>
      <w:r>
        <w:rPr/>
        <w:t xml:space="preserve"> </w:t>
      </w:r>
    </w:p>
    <w:p>
      <w:pPr>
        <w:pStyle w:val="Normal"/>
        <w:rPr>
          <w:lang w:val="en-US"/>
        </w:rPr>
      </w:pPr>
      <w:r>
        <w:rPr>
          <w:lang w:val="en-US"/>
        </w:rPr>
        <w:t xml:space="preserve">You should assume for these purposes that: </w:t>
      </w:r>
    </w:p>
    <w:p>
      <w:pPr>
        <w:pStyle w:val="Normal"/>
        <w:numPr>
          <w:ilvl w:val="0"/>
          <w:numId w:val="19"/>
        </w:numPr>
        <w:rPr/>
      </w:pPr>
      <w:r>
        <w:rPr/>
        <w:t xml:space="preserve">each Local Counterparty is either incorporated, or has a branch or other presence, in </w:t>
      </w:r>
      <w:r>
        <w:rPr>
          <w:lang w:val="en-US"/>
        </w:rPr>
        <w:t>China</w:t>
      </w:r>
      <w:r>
        <w:rPr/>
        <w:t>;</w:t>
      </w:r>
    </w:p>
    <w:p>
      <w:pPr>
        <w:pStyle w:val="Normal"/>
        <w:numPr>
          <w:ilvl w:val="0"/>
          <w:numId w:val="19"/>
        </w:numPr>
        <w:rPr/>
      </w:pPr>
      <w:r>
        <w:rPr/>
        <w:t xml:space="preserve">ECI is not incorporated in </w:t>
      </w:r>
      <w:r>
        <w:rPr>
          <w:lang w:val="en-US"/>
        </w:rPr>
        <w:t>China</w:t>
      </w:r>
      <w:r>
        <w:rPr/>
        <w:t xml:space="preserve"> and does not have a branch or other presence in </w:t>
      </w:r>
      <w:r>
        <w:rPr>
          <w:lang w:val="en-US"/>
        </w:rPr>
        <w:t>China</w:t>
      </w:r>
      <w:r>
        <w:rPr/>
        <w:t>;</w:t>
      </w:r>
    </w:p>
    <w:p>
      <w:pPr>
        <w:pStyle w:val="Normal"/>
        <w:numPr>
          <w:ilvl w:val="0"/>
          <w:numId w:val="19"/>
        </w:numPr>
        <w:rPr/>
      </w:pPr>
      <w:r>
        <w:rPr/>
        <w:t>either or both of ECI or a Local Counterparty may or may not be owners or operators of any telecommunications networks, equipment, facilities or circuits located in China or elsewhere;</w:t>
      </w:r>
    </w:p>
    <w:p>
      <w:pPr>
        <w:pStyle w:val="Normal"/>
        <w:numPr>
          <w:ilvl w:val="0"/>
          <w:numId w:val="19"/>
        </w:numPr>
        <w:rPr/>
      </w:pPr>
      <w:r>
        <w:rPr/>
        <w:t xml:space="preserve">occasionally representatives of ECI may visit potential or actual Local Counterparties in </w:t>
      </w:r>
      <w:r>
        <w:rPr>
          <w:lang w:val="en-US"/>
        </w:rPr>
        <w:t>China</w:t>
      </w:r>
      <w:r>
        <w:rPr/>
        <w:t xml:space="preserve"> with a view to marketing the concept of the Transactions to such Local Counterparties and with a view to soliciting such Local Counterparties to enter into the Transactions;</w:t>
      </w:r>
    </w:p>
    <w:p>
      <w:pPr>
        <w:pStyle w:val="Normal"/>
        <w:numPr>
          <w:ilvl w:val="0"/>
          <w:numId w:val="19"/>
        </w:numPr>
        <w:rPr/>
      </w:pPr>
      <w:r>
        <w:rPr/>
        <w:t xml:space="preserve">the Transactions are in respect of a Segment which is between specific addresses each of which is located </w:t>
      </w:r>
      <w:r>
        <w:rPr>
          <w:i/>
        </w:rPr>
        <w:t>outside</w:t>
      </w:r>
      <w:r>
        <w:rPr/>
        <w:t xml:space="preserve"> of </w:t>
      </w:r>
      <w:r>
        <w:rPr>
          <w:lang w:val="en-US"/>
        </w:rPr>
        <w:t>China</w:t>
      </w:r>
      <w:r>
        <w:rPr/>
        <w:t>, for example between specific addresses in each of London and New York City; and</w:t>
      </w:r>
    </w:p>
    <w:p>
      <w:pPr>
        <w:pStyle w:val="Normal"/>
        <w:numPr>
          <w:ilvl w:val="0"/>
          <w:numId w:val="19"/>
        </w:numPr>
        <w:rPr/>
      </w:pPr>
      <w:r>
        <w:rPr>
          <w:lang w:val="en-US"/>
        </w:rPr>
        <w:t xml:space="preserve">the Local Counterparties may be corporations or partnerships, utilities, municipalities, government-owned entities or financial institutions, but they will </w:t>
      </w:r>
      <w:r>
        <w:rPr>
          <w:b/>
          <w:lang w:val="en-US"/>
        </w:rPr>
        <w:t>not</w:t>
      </w:r>
      <w:r>
        <w:rPr>
          <w:lang w:val="en-US"/>
        </w:rPr>
        <w:t xml:space="preserve"> be individuals.</w:t>
      </w:r>
    </w:p>
    <w:p>
      <w:pPr>
        <w:pStyle w:val="Normal"/>
        <w:rPr>
          <w:u w:val="single"/>
          <w:lang w:val="en-US"/>
        </w:rPr>
      </w:pPr>
      <w:r>
        <w:rPr>
          <w:b/>
          <w:lang w:val="en-US"/>
        </w:rPr>
        <w:t>Please note that the Local Counterparties</w:t>
      </w:r>
      <w:r>
        <w:rPr>
          <w:b/>
          <w:i/>
          <w:lang w:val="en-US"/>
        </w:rPr>
        <w:t xml:space="preserve"> </w:t>
      </w:r>
      <w:r>
        <w:rPr>
          <w:b/>
          <w:i/>
          <w:u w:val="single"/>
          <w:lang w:val="en-US"/>
        </w:rPr>
        <w:t>may or may not</w:t>
      </w:r>
      <w:r>
        <w:rPr>
          <w:b/>
          <w:lang w:val="en-US"/>
        </w:rPr>
        <w:t xml:space="preserve"> be providers of telecommunications services or owners of telecommunications facilities as ECI wishes to determine whether entities other than telecommunications entities can trade Bandwidth.</w:t>
      </w:r>
    </w:p>
    <w:p>
      <w:pPr>
        <w:pStyle w:val="Normal"/>
        <w:keepNext w:val="true"/>
        <w:ind w:hanging="567" w:start="567" w:end="26"/>
        <w:rPr/>
      </w:pPr>
      <w:r>
        <w:rPr>
          <w:b/>
        </w:rPr>
        <w:t>A.</w:t>
        <w:tab/>
      </w:r>
      <w:r>
        <w:rPr>
          <w:b/>
          <w:u w:val="single"/>
        </w:rPr>
        <w:t>Licensing and Organization</w:t>
      </w:r>
    </w:p>
    <w:p>
      <w:pPr>
        <w:pStyle w:val="Normal"/>
        <w:tabs>
          <w:tab w:val="clear" w:pos="720"/>
          <w:tab w:val="left" w:pos="567" w:leader="none"/>
        </w:tabs>
        <w:ind w:hanging="1418" w:start="1418" w:end="0"/>
        <w:rPr/>
      </w:pPr>
      <w:r>
        <w:rPr/>
        <w:t>(a)</w:t>
        <w:tab/>
        <w:t>(i)</w:t>
        <w:tab/>
        <w:t xml:space="preserve">How would the Transactions fall to be examined or categorized under the telecoms regulatory regime in </w:t>
      </w:r>
      <w:r>
        <w:rPr>
          <w:lang w:val="en-US"/>
        </w:rPr>
        <w:t>China</w:t>
      </w:r>
      <w:r>
        <w:rPr/>
        <w:t xml:space="preserve"> and what would be the impact of such categorization?</w:t>
      </w:r>
    </w:p>
    <w:p>
      <w:pPr>
        <w:pStyle w:val="Normal"/>
        <w:tabs>
          <w:tab w:val="clear" w:pos="720"/>
          <w:tab w:val="left" w:pos="567" w:leader="none"/>
        </w:tabs>
        <w:ind w:hanging="1418" w:start="1418" w:end="0"/>
        <w:rPr/>
      </w:pPr>
      <w:r>
        <w:rPr/>
        <w:tab/>
        <w:t>(ii)</w:t>
        <w:tab/>
        <w:t>What forms of telecommunications licences would be required, if any, by either or both of ECI and Local Counterparty in respect of the Transactions and how would these be obtained?</w:t>
      </w:r>
    </w:p>
    <w:p>
      <w:pPr>
        <w:pStyle w:val="Normal"/>
        <w:tabs>
          <w:tab w:val="clear" w:pos="720"/>
          <w:tab w:val="left" w:pos="567" w:leader="none"/>
        </w:tabs>
        <w:ind w:hanging="1418" w:start="1418" w:end="0"/>
        <w:rPr/>
      </w:pPr>
      <w:r>
        <w:rPr/>
        <w:tab/>
        <w:t>(iii)</w:t>
        <w:tab/>
        <w:t>Which type of licence would the Transactions operate under e.g. individual licence, class licence or exemption?</w:t>
      </w:r>
    </w:p>
    <w:p>
      <w:pPr>
        <w:pStyle w:val="Normal"/>
        <w:ind w:hanging="709" w:start="709" w:end="0"/>
        <w:rPr/>
      </w:pPr>
      <w:r>
        <w:rPr/>
        <w:t>(b)</w:t>
        <w:tab/>
        <w:t xml:space="preserve">Which other elements of the telecoms regulatory regime in </w:t>
      </w:r>
      <w:r>
        <w:rPr>
          <w:lang w:val="en-US"/>
        </w:rPr>
        <w:t>China</w:t>
      </w:r>
      <w:r>
        <w:rPr/>
        <w:t xml:space="preserve"> would effect the Transactions between ECI and the Local Counterparty.  For example, are there provisions relating to the publication of prices, limitation on prices, access control (third party access), interconnection/interoperability or technical interfacing which would affect the Transactions?</w:t>
      </w:r>
    </w:p>
    <w:p>
      <w:pPr>
        <w:pStyle w:val="Normal"/>
        <w:tabs>
          <w:tab w:val="clear" w:pos="720"/>
          <w:tab w:val="left" w:pos="567" w:leader="none"/>
        </w:tabs>
        <w:ind w:hanging="1418" w:start="1418" w:end="0"/>
        <w:rPr/>
      </w:pPr>
      <w:r>
        <w:rPr/>
        <w:t>(c)</w:t>
        <w:tab/>
        <w:t>(i)</w:t>
        <w:tab/>
        <w:t xml:space="preserve">Are different licences necessary in </w:t>
      </w:r>
      <w:r>
        <w:rPr>
          <w:lang w:val="en-US"/>
        </w:rPr>
        <w:t>China</w:t>
      </w:r>
      <w:r>
        <w:rPr/>
        <w:t xml:space="preserve"> for those who operate networks as opposed to those who merely provide services over those networks and which category(ies) would ECI, on the one hand, and the Local Counterparties, on the other hand, as parties to the Transactions fall into?</w:t>
      </w:r>
    </w:p>
    <w:p>
      <w:pPr>
        <w:pStyle w:val="Normal"/>
        <w:tabs>
          <w:tab w:val="clear" w:pos="720"/>
          <w:tab w:val="left" w:pos="567" w:leader="none"/>
        </w:tabs>
        <w:ind w:hanging="1418" w:start="1418" w:end="0"/>
        <w:rPr/>
      </w:pPr>
      <w:r>
        <w:rPr/>
        <w:tab/>
        <w:t>(ii)</w:t>
        <w:tab/>
        <w:t xml:space="preserve">Does the status of the parties to the Transaction affect the terms of trade between them as a result of the telecoms regulatory regime in </w:t>
      </w:r>
      <w:r>
        <w:rPr>
          <w:lang w:val="en-US"/>
        </w:rPr>
        <w:t>China</w:t>
      </w:r>
      <w:r>
        <w:rPr/>
        <w:t>?</w:t>
      </w:r>
    </w:p>
    <w:p>
      <w:pPr>
        <w:pStyle w:val="Normal"/>
        <w:tabs>
          <w:tab w:val="clear" w:pos="720"/>
          <w:tab w:val="left" w:pos="567" w:leader="none"/>
        </w:tabs>
        <w:ind w:hanging="1418" w:start="1418" w:end="0"/>
        <w:rPr/>
      </w:pPr>
      <w:r>
        <w:rPr/>
        <w:tab/>
        <w:t>(iii)</w:t>
        <w:tab/>
        <w:t>Is either of the above two positions (Section 1A.(c)(i) and (c)(ii)) altered if the ownership of the facility and the operation of it are not done by one and the same entity?</w:t>
      </w:r>
    </w:p>
    <w:p>
      <w:pPr>
        <w:pStyle w:val="Normal"/>
        <w:tabs>
          <w:tab w:val="clear" w:pos="720"/>
          <w:tab w:val="left" w:pos="567" w:leader="none"/>
        </w:tabs>
        <w:ind w:hanging="1418" w:start="1418" w:end="0"/>
        <w:rPr/>
      </w:pPr>
      <w:r>
        <w:rPr/>
        <w:t>(d)</w:t>
        <w:tab/>
        <w:t>(i)</w:t>
        <w:tab/>
        <w:t xml:space="preserve">To the extent not already covered by the questions in Section 1A. paragraphs (a) to (c) above, are any other licences, permits, consents or other governmental approvals required in </w:t>
      </w:r>
      <w:r>
        <w:rPr>
          <w:lang w:val="en-US"/>
        </w:rPr>
        <w:t>China</w:t>
      </w:r>
      <w:r>
        <w:rPr/>
        <w:t xml:space="preserve"> (and, if so, by whom) in order for ECI to enter into the Transactions with the Local Counterparties? </w:t>
      </w:r>
    </w:p>
    <w:p>
      <w:pPr>
        <w:pStyle w:val="Normal"/>
        <w:tabs>
          <w:tab w:val="clear" w:pos="720"/>
          <w:tab w:val="left" w:pos="567" w:leader="none"/>
        </w:tabs>
        <w:ind w:hanging="850" w:start="1417" w:end="0"/>
        <w:rPr/>
      </w:pPr>
      <w:r>
        <w:rPr/>
        <w:t>(ii)</w:t>
        <w:tab/>
        <w:t xml:space="preserve">To the extent not already covered by the questions in Section 1A. paragraphs (a) to (c) above, would ECI (or any of its personnel) need to be licensed (1) to visit </w:t>
      </w:r>
      <w:r>
        <w:rPr>
          <w:lang w:val="en-US"/>
        </w:rPr>
        <w:t>China</w:t>
      </w:r>
      <w:r>
        <w:rPr/>
        <w:t xml:space="preserve"> to market Transactions to </w:t>
      </w:r>
      <w:r>
        <w:rPr>
          <w:lang w:val="en-US"/>
        </w:rPr>
        <w:t>Local Counterparties</w:t>
      </w:r>
      <w:r>
        <w:rPr/>
        <w:t xml:space="preserve"> and/or (2) for ECI to buy or sell Bandwidth from or to Local Counterparties, under local law in </w:t>
      </w:r>
      <w:r>
        <w:rPr>
          <w:lang w:val="en-US"/>
        </w:rPr>
        <w:t>China</w:t>
      </w:r>
      <w:r>
        <w:rPr/>
        <w:t xml:space="preserve">?  </w:t>
      </w:r>
    </w:p>
    <w:p>
      <w:pPr>
        <w:pStyle w:val="Normal"/>
        <w:tabs>
          <w:tab w:val="clear" w:pos="720"/>
          <w:tab w:val="left" w:pos="567" w:leader="none"/>
        </w:tabs>
        <w:ind w:hanging="850" w:start="1417" w:end="0"/>
        <w:rPr/>
      </w:pPr>
      <w:r>
        <w:rPr/>
        <w:t>(iii)</w:t>
        <w:tab/>
        <w:t xml:space="preserve">To the extent not already covered by the questions in Section 1A. Paragraphs (a) to (c) above, would Local Counterparty (or any of its personnel) need to be licensed in </w:t>
      </w:r>
      <w:r>
        <w:rPr>
          <w:lang w:val="en-US"/>
        </w:rPr>
        <w:t>China</w:t>
      </w:r>
      <w:r>
        <w:rPr/>
        <w:t xml:space="preserve"> to buy or sell Bandwidth from or to ECI and/or other counterparties?</w:t>
      </w:r>
    </w:p>
    <w:p>
      <w:pPr>
        <w:pStyle w:val="Normal"/>
        <w:ind w:start="567" w:end="0"/>
        <w:rPr/>
      </w:pPr>
      <w:r>
        <w:rPr/>
        <w:t xml:space="preserve">If so, briefly describe the procedure and approximately how long it would take to obtain any such licenses, permits, consents or approvals.  </w:t>
      </w:r>
    </w:p>
    <w:p>
      <w:pPr>
        <w:pStyle w:val="Normal"/>
        <w:tabs>
          <w:tab w:val="clear" w:pos="720"/>
          <w:tab w:val="left" w:pos="567" w:leader="none"/>
        </w:tabs>
        <w:ind w:hanging="1418" w:start="1418" w:end="0"/>
        <w:rPr/>
      </w:pPr>
      <w:r>
        <w:rPr/>
        <w:t>(e)</w:t>
        <w:tab/>
        <w:t>(i)</w:t>
        <w:tab/>
        <w:t xml:space="preserve">To the extent not already covered by the questions in Section 1A., paragraphs (a) to (c) above, under local law in </w:t>
      </w:r>
      <w:r>
        <w:rPr>
          <w:lang w:val="en-US"/>
        </w:rPr>
        <w:t>China,</w:t>
      </w:r>
      <w:r>
        <w:rPr/>
        <w:t xml:space="preserve"> would ECI, or the Local Counterparty, be under any obligation to provide periodic reports or information to any regulatory or governmental or other body if they engaged in the Transactions, or a Local Counterparty?  </w:t>
      </w:r>
    </w:p>
    <w:p>
      <w:pPr>
        <w:pStyle w:val="Normal"/>
        <w:ind w:hanging="851" w:start="1418" w:end="0"/>
        <w:rPr/>
      </w:pPr>
      <w:r>
        <w:rPr/>
        <w:t>(ii)</w:t>
        <w:tab/>
        <w:t xml:space="preserve">To the extent not already covered by the questions in Section 1A., paragraphs (a) to (c) above, would ECI or the Local Counterparty be subject to any form of governmental regulation in </w:t>
      </w:r>
      <w:r>
        <w:rPr>
          <w:lang w:val="en-US"/>
        </w:rPr>
        <w:t>China</w:t>
      </w:r>
      <w:r>
        <w:rPr/>
        <w:t xml:space="preserve"> in respect of Transactions between them and, if so, what?</w:t>
      </w:r>
    </w:p>
    <w:p>
      <w:pPr>
        <w:pStyle w:val="Normal"/>
        <w:keepNext w:val="true"/>
        <w:tabs>
          <w:tab w:val="clear" w:pos="720"/>
          <w:tab w:val="left" w:pos="567" w:leader="none"/>
        </w:tabs>
        <w:ind w:hanging="1418" w:start="1418" w:end="26"/>
        <w:rPr/>
      </w:pPr>
      <w:r>
        <w:rPr/>
        <w:t>(f)</w:t>
        <w:tab/>
        <w:t>(i)</w:t>
        <w:tab/>
        <w:t xml:space="preserve">Would the trading of Bandwidth by way of the Transactions be construed as a financial or securities market or exchange in </w:t>
      </w:r>
      <w:r>
        <w:rPr>
          <w:lang w:val="en-US"/>
        </w:rPr>
        <w:t>China</w:t>
      </w:r>
      <w:r>
        <w:rPr/>
        <w:t xml:space="preserve"> and, if so, why?</w:t>
      </w:r>
    </w:p>
    <w:p>
      <w:pPr>
        <w:pStyle w:val="Normal"/>
        <w:ind w:hanging="851" w:start="1418" w:end="0"/>
        <w:rPr/>
      </w:pPr>
      <w:r>
        <w:rPr/>
        <w:t>(ii)</w:t>
        <w:tab/>
        <w:t xml:space="preserve">If it would be so construed, which market supervisory body, if any, in </w:t>
      </w:r>
      <w:r>
        <w:rPr>
          <w:lang w:val="en-US"/>
        </w:rPr>
        <w:t>China</w:t>
      </w:r>
      <w:r>
        <w:rPr/>
        <w:t xml:space="preserve"> would regulate the Bandwidth market and which rules would apply?</w:t>
      </w:r>
    </w:p>
    <w:p>
      <w:pPr>
        <w:pStyle w:val="Normal"/>
        <w:keepNext w:val="true"/>
        <w:ind w:hanging="567" w:start="567" w:end="26"/>
        <w:rPr/>
      </w:pPr>
      <w:r>
        <w:rPr>
          <w:b/>
        </w:rPr>
        <w:t>B.</w:t>
        <w:tab/>
      </w:r>
      <w:r>
        <w:rPr>
          <w:b/>
          <w:u w:val="single"/>
        </w:rPr>
        <w:t>Capacity and Authority</w:t>
      </w:r>
    </w:p>
    <w:p>
      <w:pPr>
        <w:pStyle w:val="Normal"/>
        <w:ind w:hanging="709" w:start="709" w:end="26"/>
        <w:rPr/>
      </w:pPr>
      <w:r>
        <w:rPr/>
        <w:t>(a)</w:t>
        <w:tab/>
        <w:t xml:space="preserve">Under local law in </w:t>
      </w:r>
      <w:r>
        <w:rPr>
          <w:lang w:val="en-US"/>
        </w:rPr>
        <w:t>China,</w:t>
      </w:r>
      <w:r>
        <w:rPr/>
        <w:t xml:space="preserve"> do any entities as Local Counterparties, for example (but not limited to) municipalities or utilities, have any legal restrictions placed on their ability to enter into the Transactions?  If so, please briefly describe.</w:t>
      </w:r>
    </w:p>
    <w:p>
      <w:pPr>
        <w:pStyle w:val="Normal"/>
        <w:ind w:hanging="709" w:start="709" w:end="0"/>
        <w:rPr/>
      </w:pPr>
      <w:r>
        <w:rPr/>
        <w:t>(b)</w:t>
        <w:tab/>
        <w:t>Is it necessary that the organisational documents of the Local Counterparty empower it to enter into the Transactions and/or the governing Master Agreement or GTCs?</w:t>
      </w:r>
    </w:p>
    <w:p>
      <w:pPr>
        <w:pStyle w:val="Normal"/>
        <w:ind w:hanging="709" w:start="709" w:end="26"/>
        <w:rPr/>
      </w:pPr>
      <w:r>
        <w:rPr/>
        <w:t>(c)</w:t>
        <w:tab/>
        <w:t>Will any additional corporate action be necessary or advisable in order for ECI to be  assured that the Local Counterparty has due capacity and that the person entering into a Transaction (or executing the Master Agreement and a Confirmation or the Confirmation incorporating the GTCs) on behalf of the Local Counterparty has proper authority?</w:t>
      </w:r>
    </w:p>
    <w:p>
      <w:pPr>
        <w:pStyle w:val="Normal"/>
        <w:tabs>
          <w:tab w:val="clear" w:pos="720"/>
          <w:tab w:val="left" w:pos="567" w:leader="none"/>
        </w:tabs>
        <w:ind w:hanging="1418" w:start="1418" w:end="0"/>
        <w:rPr/>
      </w:pPr>
      <w:r>
        <w:rPr/>
        <w:t>(d)</w:t>
        <w:tab/>
        <w:t>(i)</w:t>
        <w:tab/>
        <w:t xml:space="preserve">Pursuant to the requirements of local law in </w:t>
      </w:r>
      <w:r>
        <w:rPr>
          <w:lang w:val="en-US"/>
        </w:rPr>
        <w:t>China,</w:t>
      </w:r>
      <w:r>
        <w:rPr/>
        <w:t xml:space="preserve"> would ECI need to enter into the Transactions with </w:t>
      </w:r>
      <w:r>
        <w:rPr>
          <w:lang w:val="en-US"/>
        </w:rPr>
        <w:t>Local Counterparties</w:t>
      </w:r>
      <w:r>
        <w:rPr/>
        <w:t xml:space="preserve"> through an ECI-affiliated entity that is incorporated or otherwise organised in, or through a branch in, </w:t>
      </w:r>
      <w:r>
        <w:rPr>
          <w:lang w:val="en-US"/>
        </w:rPr>
        <w:t>China</w:t>
      </w:r>
      <w:r>
        <w:rPr/>
        <w:t xml:space="preserve">? </w:t>
      </w:r>
    </w:p>
    <w:p>
      <w:pPr>
        <w:pStyle w:val="Normal"/>
        <w:tabs>
          <w:tab w:val="clear" w:pos="720"/>
          <w:tab w:val="left" w:pos="567" w:leader="none"/>
        </w:tabs>
        <w:ind w:hanging="851" w:start="1418" w:end="0"/>
        <w:rPr/>
      </w:pPr>
      <w:r>
        <w:rPr/>
        <w:t>(ii)</w:t>
        <w:tab/>
        <w:t xml:space="preserve">If it would be so required under local law in </w:t>
      </w:r>
      <w:r>
        <w:rPr>
          <w:lang w:val="en-US"/>
        </w:rPr>
        <w:t>China</w:t>
      </w:r>
      <w:r>
        <w:rPr/>
        <w:t xml:space="preserve">, please specify what type of entity ECI would be required to establish in </w:t>
      </w:r>
      <w:r>
        <w:rPr>
          <w:lang w:val="en-US"/>
        </w:rPr>
        <w:t>China</w:t>
      </w:r>
      <w:r>
        <w:rPr/>
        <w:t xml:space="preserve">.  </w:t>
      </w:r>
    </w:p>
    <w:p>
      <w:pPr>
        <w:pStyle w:val="Normal"/>
        <w:tabs>
          <w:tab w:val="clear" w:pos="720"/>
          <w:tab w:val="left" w:pos="567" w:leader="none"/>
        </w:tabs>
        <w:ind w:hanging="1418" w:start="1418" w:end="26"/>
        <w:rPr/>
      </w:pPr>
      <w:r>
        <w:rPr/>
        <w:tab/>
        <w:t>(iii)</w:t>
        <w:tab/>
        <w:t xml:space="preserve">If ECI established such an entity in </w:t>
      </w:r>
      <w:r>
        <w:rPr>
          <w:lang w:val="en-US"/>
        </w:rPr>
        <w:t>China</w:t>
      </w:r>
      <w:r>
        <w:rPr/>
        <w:t xml:space="preserve"> to enter into the Transactions with Local Counterparties, would your answers to any of the questions set out in Section 1A of this Memorandum change in any respect and, if so, how?  Are there any limitations on foreign ownership of such an entity? </w:t>
      </w:r>
    </w:p>
    <w:p>
      <w:pPr>
        <w:pStyle w:val="Normal"/>
        <w:keepNext w:val="true"/>
        <w:ind w:hanging="567" w:start="567" w:end="26"/>
        <w:rPr>
          <w:b/>
        </w:rPr>
      </w:pPr>
      <w:r>
        <w:rPr>
          <w:b/>
        </w:rPr>
        <w:t>C.</w:t>
        <w:tab/>
      </w:r>
      <w:r>
        <w:rPr>
          <w:b/>
          <w:u w:val="single"/>
        </w:rPr>
        <w:t>General Contractual Terms and Formalities</w:t>
      </w:r>
    </w:p>
    <w:p>
      <w:pPr>
        <w:pStyle w:val="Normal"/>
        <w:rPr>
          <w:i/>
          <w:i/>
        </w:rPr>
      </w:pPr>
      <w:r>
        <w:rPr>
          <w:i/>
        </w:rPr>
        <w:t>Questions</w:t>
      </w:r>
    </w:p>
    <w:p>
      <w:pPr>
        <w:pStyle w:val="Normal"/>
        <w:ind w:hanging="709" w:start="709" w:end="0"/>
        <w:rPr/>
      </w:pPr>
      <w:r>
        <w:rPr/>
        <w:t>(a)</w:t>
        <w:tab/>
        <w:t>Under the laws of certain jurisdictions, “economic re-opener” for certain contracts or Transactions may be permitted.  This may be implied by law (and therefore not required to be set forth in the contractual terms relating to a Transaction, such as the Master Agreement or GTCs or their attendant Confirmations), and in some instances may provide that the parties are required to negotiate in good faith regarding an amendment to the contractual terms of a Transaction when economic circumstances have drastically changed since the Transaction became contractually binding.  The purpose of such negotiations would be to agree an amendment to the contractual terms of the Transaction in order to place the parties back in substantially the same economic position for which they initially bargained.</w:t>
      </w:r>
    </w:p>
    <w:p>
      <w:pPr>
        <w:pStyle w:val="Normal"/>
        <w:ind w:hanging="709" w:start="709" w:end="0"/>
        <w:rPr/>
      </w:pPr>
      <w:r>
        <w:rPr/>
        <w:tab/>
        <w:t xml:space="preserve">Accordingly: </w:t>
      </w:r>
    </w:p>
    <w:p>
      <w:pPr>
        <w:pStyle w:val="Normal"/>
        <w:ind w:hanging="709" w:start="1418" w:end="0"/>
        <w:rPr/>
      </w:pPr>
      <w:r>
        <w:rPr/>
        <w:t>(i)</w:t>
        <w:tab/>
        <w:t xml:space="preserve">Does local law in </w:t>
      </w:r>
      <w:r>
        <w:rPr>
          <w:lang w:val="en-US"/>
        </w:rPr>
        <w:t>China</w:t>
      </w:r>
      <w:r>
        <w:rPr/>
        <w:t xml:space="preserve"> contemplate some form of an economic re-opener?  If so, please briefly describe.</w:t>
      </w:r>
    </w:p>
    <w:p>
      <w:pPr>
        <w:pStyle w:val="Normal"/>
        <w:ind w:hanging="709" w:start="1418" w:end="0"/>
        <w:rPr/>
      </w:pPr>
      <w:r>
        <w:rPr/>
        <w:t>(ii)</w:t>
        <w:tab/>
        <w:t xml:space="preserve">Bearing in mind that substantially all of ECI’s in-house lawyers are qualified in U.S. or English law, are you aware of any other provisions of local law in </w:t>
      </w:r>
      <w:r>
        <w:rPr>
          <w:lang w:val="en-US"/>
        </w:rPr>
        <w:t>China</w:t>
      </w:r>
      <w:r>
        <w:rPr/>
        <w:t xml:space="preserve"> that, in your experience, are ones which would not be anticipated by a U.S. or English lawyer and which may be relevant to the Transactions with Local Counterparties in </w:t>
      </w:r>
      <w:r>
        <w:rPr>
          <w:lang w:val="en-US"/>
        </w:rPr>
        <w:t>China</w:t>
      </w:r>
      <w:r>
        <w:rPr/>
        <w:t>?</w:t>
      </w:r>
    </w:p>
    <w:p>
      <w:pPr>
        <w:pStyle w:val="Normal"/>
        <w:tabs>
          <w:tab w:val="clear" w:pos="720"/>
          <w:tab w:val="left" w:pos="567" w:leader="none"/>
        </w:tabs>
        <w:ind w:hanging="1418" w:start="1418" w:end="0"/>
        <w:rPr/>
      </w:pPr>
      <w:r>
        <w:rPr/>
        <w:t>(b)</w:t>
        <w:tab/>
        <w:t>(i)</w:t>
        <w:tab/>
        <w:t xml:space="preserve">Is it a correct statement of local law in </w:t>
      </w:r>
      <w:r>
        <w:rPr>
          <w:lang w:val="en-US"/>
        </w:rPr>
        <w:t>China</w:t>
      </w:r>
      <w:r>
        <w:rPr/>
        <w:t xml:space="preserve"> to say that, under that law, both ECI and Local Counterparty will have legally binding obligations in respect of a Transaction once that Transaction has been agreed in a telephone conversation or by exchange of electronic messages (note that the relevant written Confirmation of the Transaction will only be signed sometime after that telephone conversation or exchange of electronic messages and, in a few cases, may never be signed owing, for example, to failure of the Local Counterparty to countersign it)?  If not, please explain.</w:t>
      </w:r>
    </w:p>
    <w:p>
      <w:pPr>
        <w:pStyle w:val="Normal"/>
        <w:ind w:hanging="873" w:start="1440" w:end="0"/>
        <w:rPr/>
      </w:pPr>
      <w:r>
        <w:rPr/>
        <w:t>(ii)</w:t>
        <w:tab/>
        <w:t xml:space="preserve">In respect of Transactions entered into by way of exchange of electronic messages, do any special laws or regulations exist in </w:t>
      </w:r>
      <w:r>
        <w:rPr>
          <w:lang w:val="en-US"/>
        </w:rPr>
        <w:t>China</w:t>
      </w:r>
      <w:r>
        <w:rPr/>
        <w:t xml:space="preserve"> which would prevent or in any way impact upon marketing or trading of any of the Transactions through the internet?</w:t>
      </w:r>
    </w:p>
    <w:p>
      <w:pPr>
        <w:pStyle w:val="Normal"/>
        <w:ind w:hanging="873" w:start="1440" w:end="0"/>
        <w:rPr/>
      </w:pPr>
      <w:r>
        <w:rPr/>
        <w:t>(iii)</w:t>
        <w:tab/>
        <w:t>If the answer to Section 1(C)(b)(ii) is "yes", please indicate whether the impact of any relevant laws or regulations will differ depending upon whether (1) the relevant internet site is maintained in or elsewhere; or (2) the party effecting the marketing/trading through the internet is locally licensed or benefits from any form of exemption to carry out the relevant business.</w:t>
      </w:r>
    </w:p>
    <w:p>
      <w:pPr>
        <w:pStyle w:val="Normal"/>
        <w:ind w:hanging="873" w:start="1440" w:end="0"/>
        <w:rPr/>
      </w:pPr>
      <w:r>
        <w:rPr/>
        <w:t>(iv)</w:t>
        <w:tab/>
        <w:t>Please confirm that by marketing to or trading with Local Counterparties via the internet, local relevant regulatory bodies/local laws or regulations will not consider the party maintaining the relevant website to have established a physical establishment/branch in your jurisdiction.</w:t>
      </w:r>
    </w:p>
    <w:p>
      <w:pPr>
        <w:pStyle w:val="Normal"/>
        <w:ind w:hanging="709" w:start="709" w:end="0"/>
        <w:rPr/>
      </w:pPr>
      <w:r>
        <w:rPr/>
        <w:t>(c)</w:t>
        <w:tab/>
        <w:t xml:space="preserve">ECI’s practice is to record the telephone lines of its traders.  Does that give rise to any issues under local law in </w:t>
      </w:r>
      <w:r>
        <w:rPr>
          <w:lang w:val="en-US"/>
        </w:rPr>
        <w:t>China</w:t>
      </w:r>
      <w:r>
        <w:rPr/>
        <w:t xml:space="preserve">?  </w:t>
      </w:r>
    </w:p>
    <w:p>
      <w:pPr>
        <w:pStyle w:val="Normal"/>
        <w:tabs>
          <w:tab w:val="clear" w:pos="720"/>
          <w:tab w:val="left" w:pos="567" w:leader="none"/>
        </w:tabs>
        <w:spacing w:before="240" w:after="240"/>
        <w:ind w:hanging="1418" w:start="1418" w:end="26"/>
        <w:rPr/>
      </w:pPr>
      <w:r>
        <w:rPr/>
        <w:t>(d)</w:t>
        <w:tab/>
        <w:t>(i)</w:t>
        <w:tab/>
        <w:t xml:space="preserve">Would any data protection laws in </w:t>
      </w:r>
      <w:r>
        <w:rPr>
          <w:lang w:val="en-US"/>
        </w:rPr>
        <w:t>China</w:t>
      </w:r>
      <w:r>
        <w:rPr/>
        <w:t xml:space="preserve"> apply to the Transactions where ECI or the Local Counterparty have data about each other or their customers; or</w:t>
      </w:r>
    </w:p>
    <w:p>
      <w:pPr>
        <w:pStyle w:val="Normal"/>
        <w:ind w:hanging="851" w:start="1418" w:end="26"/>
        <w:rPr/>
      </w:pPr>
      <w:r>
        <w:rPr/>
        <w:t>(ii)</w:t>
        <w:tab/>
        <w:t xml:space="preserve">would either ECI or the Local Counterparty have responsibility in </w:t>
      </w:r>
      <w:r>
        <w:rPr>
          <w:lang w:val="en-US"/>
        </w:rPr>
        <w:t>China</w:t>
      </w:r>
      <w:r>
        <w:rPr/>
        <w:t xml:space="preserve"> for the protection of the data which passes through a telecommunications network, equipment, facilities or circuits as a result of a Transaction.</w:t>
      </w:r>
    </w:p>
    <w:p>
      <w:pPr>
        <w:pStyle w:val="Normal"/>
        <w:ind w:hanging="709" w:start="709" w:end="26"/>
        <w:rPr/>
      </w:pPr>
      <w:r>
        <w:rPr/>
        <w:t>(e)</w:t>
        <w:tab/>
        <w:t xml:space="preserve">Does the law of </w:t>
      </w:r>
      <w:r>
        <w:rPr>
          <w:lang w:val="en-US"/>
        </w:rPr>
        <w:t>China</w:t>
      </w:r>
      <w:r>
        <w:rPr/>
        <w:t xml:space="preserve"> prescribe any implied terms or conditions that would impact a Transaction?  If so, please outline only the key terms or conditions.</w:t>
      </w:r>
    </w:p>
    <w:p>
      <w:pPr>
        <w:pStyle w:val="Normal"/>
        <w:tabs>
          <w:tab w:val="clear" w:pos="720"/>
          <w:tab w:val="left" w:pos="567" w:leader="none"/>
        </w:tabs>
        <w:ind w:hanging="1418" w:start="1418" w:end="26"/>
        <w:rPr/>
      </w:pPr>
      <w:r>
        <w:rPr/>
        <w:t>(f)</w:t>
        <w:tab/>
        <w:t>(i)</w:t>
        <w:tab/>
        <w:t xml:space="preserve">Would it be necessary to register, or make notification of, any Transaction entered into with a Local Counterparty (or the Master Agreement or GTCs to which it would be subject) with/to any governmental or other authority or regulatory body in </w:t>
      </w:r>
      <w:r>
        <w:rPr>
          <w:lang w:val="en-US"/>
        </w:rPr>
        <w:t>China</w:t>
      </w:r>
      <w:r>
        <w:rPr/>
        <w:t xml:space="preserve">?  </w:t>
      </w:r>
    </w:p>
    <w:p>
      <w:pPr>
        <w:pStyle w:val="Normal"/>
        <w:ind w:hanging="851" w:start="1418" w:end="26"/>
        <w:rPr/>
      </w:pPr>
      <w:r>
        <w:rPr/>
        <w:t>(ii)</w:t>
        <w:tab/>
        <w:t xml:space="preserve">If it would be necessary, whose duty would this be, i.e., the buyer’s or the seller’s under a Transaction?  </w:t>
      </w:r>
    </w:p>
    <w:p>
      <w:pPr>
        <w:pStyle w:val="Normal"/>
        <w:ind w:hanging="851" w:start="1418" w:end="26"/>
        <w:rPr/>
      </w:pPr>
      <w:r>
        <w:rPr/>
        <w:t>(iii)</w:t>
        <w:tab/>
        <w:t>What would be the consequences of so failing to register or make notification of the Transaction (e.g., would the Transaction be void or voidable or would it have some other consequence)?</w:t>
      </w:r>
    </w:p>
    <w:p>
      <w:pPr>
        <w:pStyle w:val="Normal"/>
        <w:ind w:hanging="709" w:start="709" w:end="26"/>
        <w:rPr/>
      </w:pPr>
      <w:r>
        <w:rPr/>
        <w:t>(g)</w:t>
        <w:tab/>
        <w:t xml:space="preserve">If suit were brought in </w:t>
      </w:r>
      <w:r>
        <w:rPr>
          <w:lang w:val="en-US"/>
        </w:rPr>
        <w:t>China</w:t>
      </w:r>
      <w:r>
        <w:rPr/>
        <w:t xml:space="preserve"> to enforce the terms of the Master Agreement or GTCs relating to a Transaction and the Court in </w:t>
      </w:r>
      <w:r>
        <w:rPr>
          <w:lang w:val="en-US"/>
        </w:rPr>
        <w:t>China</w:t>
      </w:r>
      <w:r>
        <w:rPr/>
        <w:t xml:space="preserve"> applied </w:t>
      </w:r>
      <w:r>
        <w:rPr>
          <w:lang w:val="en-US"/>
        </w:rPr>
        <w:t>Chinese</w:t>
      </w:r>
      <w:r>
        <w:rPr/>
        <w:t xml:space="preserve"> law (either because the court did not enforce the choice of foreign law – as to which see Section 1 D below - or because the parties elected for Chinese law in place of foreign law to govern the Transaction), what are the requirements for contract formation under local law, e.g., offer, acceptance, in writing, witnessed, notarised, under seal, document stamps?</w:t>
      </w:r>
    </w:p>
    <w:p>
      <w:pPr>
        <w:pStyle w:val="Normal"/>
        <w:keepNext w:val="true"/>
        <w:ind w:hanging="567" w:start="567" w:end="26"/>
        <w:rPr/>
      </w:pPr>
      <w:r>
        <w:rPr>
          <w:b/>
        </w:rPr>
        <w:t>D.</w:t>
        <w:tab/>
      </w:r>
      <w:r>
        <w:rPr>
          <w:b/>
          <w:u w:val="single"/>
        </w:rPr>
        <w:t>Jurisdiction and Enforcement</w:t>
      </w:r>
    </w:p>
    <w:p>
      <w:pPr>
        <w:pStyle w:val="Normal"/>
        <w:rPr>
          <w:i/>
          <w:i/>
        </w:rPr>
      </w:pPr>
      <w:r>
        <w:rPr>
          <w:i/>
        </w:rPr>
        <w:t>Assumptions</w:t>
      </w:r>
    </w:p>
    <w:p>
      <w:pPr>
        <w:pStyle w:val="Normal"/>
        <w:rPr/>
      </w:pPr>
      <w:r>
        <w:rPr/>
        <w:t>Assuming:</w:t>
      </w:r>
    </w:p>
    <w:p>
      <w:pPr>
        <w:pStyle w:val="Normal"/>
        <w:ind w:hanging="567" w:start="567" w:end="0"/>
        <w:rPr/>
      </w:pPr>
      <w:r>
        <w:rPr/>
        <w:t>(I)</w:t>
        <w:tab/>
        <w:t>disputes relating to Transactions between ECI and a Local Counterparty were referred to either:</w:t>
      </w:r>
    </w:p>
    <w:p>
      <w:pPr>
        <w:pStyle w:val="Normal"/>
        <w:ind w:hanging="567" w:start="1134" w:end="0"/>
        <w:rPr/>
      </w:pPr>
      <w:r>
        <w:rPr/>
        <w:t>(a)</w:t>
        <w:tab/>
        <w:t xml:space="preserve">arbitration governed by the U.S. Federal Arbitration Act (“FAA”) and conducted in accordance with the American Arbitration Association Commercial Arbitration Rules (“AAA”) in New York City; or, alternatively, </w:t>
      </w:r>
    </w:p>
    <w:p>
      <w:pPr>
        <w:pStyle w:val="Normal"/>
        <w:ind w:hanging="567" w:start="1134" w:end="0"/>
        <w:rPr/>
      </w:pPr>
      <w:r>
        <w:rPr/>
        <w:t xml:space="preserve">(b) </w:t>
        <w:tab/>
        <w:t>international arbitration under the Rules of the International Chamber of Commerce (“ICC Rules”) or of the London Chamber of International Arbitration (“LCIA”), in either case in London; and</w:t>
      </w:r>
    </w:p>
    <w:p>
      <w:pPr>
        <w:pStyle w:val="Normal"/>
        <w:ind w:hanging="709" w:start="709" w:end="0"/>
        <w:rPr/>
      </w:pPr>
      <w:r>
        <w:rPr/>
        <w:t>(II)</w:t>
        <w:tab/>
        <w:t>the governing law of the Master Agreement or GTCs would be New York law but that in certain cases (e.g., where the stipulated dispute resolution forum was changed to that referred to in Section 1D(I)(b) above) then the governing law may be the laws of England; and</w:t>
      </w:r>
    </w:p>
    <w:p>
      <w:pPr>
        <w:pStyle w:val="Normal"/>
        <w:ind w:hanging="709" w:start="709" w:end="0"/>
        <w:rPr/>
      </w:pPr>
      <w:r>
        <w:rPr/>
        <w:t>(III)</w:t>
        <w:tab/>
        <w:t>in all cases, however, that either form of arbitration under Section 1D(I) above will be conducted in the English language; then</w:t>
      </w:r>
    </w:p>
    <w:p>
      <w:pPr>
        <w:pStyle w:val="Normal"/>
        <w:rPr/>
      </w:pPr>
      <w:r>
        <w:rPr/>
        <w:t xml:space="preserve">please would you answer the following questions.  </w:t>
      </w:r>
    </w:p>
    <w:p>
      <w:pPr>
        <w:pStyle w:val="Normal"/>
        <w:rPr>
          <w:i/>
          <w:i/>
        </w:rPr>
      </w:pPr>
      <w:r>
        <w:rPr>
          <w:i/>
        </w:rPr>
        <w:t>Questions</w:t>
      </w:r>
    </w:p>
    <w:p>
      <w:pPr>
        <w:pStyle w:val="Normal"/>
        <w:ind w:hanging="567" w:start="567" w:end="0"/>
        <w:rPr/>
      </w:pPr>
      <w:r>
        <w:rPr/>
        <w:t>(a)</w:t>
        <w:tab/>
        <w:t>Would any Local Counterparty (public or private) be granted immunity from suit, attachment of assets or execution of judgements, either in the form of sovereign immunity or otherwise?</w:t>
      </w:r>
    </w:p>
    <w:p>
      <w:pPr>
        <w:pStyle w:val="Normal"/>
        <w:ind w:hanging="567" w:start="567" w:end="0"/>
        <w:rPr/>
      </w:pPr>
      <w:r>
        <w:rPr/>
        <w:t>(b)</w:t>
        <w:tab/>
        <w:t>Please confirm that the agreement of a Local Counterparty to submit to the substantive law of the State of New York or the Laws of England and further to submit to either:</w:t>
      </w:r>
    </w:p>
    <w:p>
      <w:pPr>
        <w:pStyle w:val="Normal"/>
        <w:ind w:hanging="567" w:start="1134" w:end="0"/>
        <w:rPr/>
      </w:pPr>
      <w:r>
        <w:rPr/>
        <w:t>(i)</w:t>
        <w:tab/>
        <w:t xml:space="preserve">AAA arbitration under the FAA to be held in New York City; or </w:t>
      </w:r>
    </w:p>
    <w:p>
      <w:pPr>
        <w:pStyle w:val="Normal"/>
        <w:ind w:hanging="567" w:start="1134" w:end="0"/>
        <w:rPr/>
      </w:pPr>
      <w:r>
        <w:rPr/>
        <w:t>(ii)</w:t>
        <w:tab/>
        <w:t xml:space="preserve">arbitration under either the ICC or LCIA Rules to be held in London, </w:t>
      </w:r>
    </w:p>
    <w:p>
      <w:pPr>
        <w:pStyle w:val="Normal"/>
        <w:ind w:start="567" w:end="0"/>
        <w:rPr/>
      </w:pPr>
      <w:r>
        <w:rPr/>
        <w:t xml:space="preserve">would be legally valid, binding and enforceable under the laws of </w:t>
      </w:r>
      <w:r>
        <w:rPr>
          <w:lang w:val="en-US"/>
        </w:rPr>
        <w:t>China</w:t>
      </w:r>
      <w:r>
        <w:rPr/>
        <w:t xml:space="preserve">. </w:t>
      </w:r>
    </w:p>
    <w:p>
      <w:pPr>
        <w:pStyle w:val="Normal"/>
        <w:tabs>
          <w:tab w:val="clear" w:pos="720"/>
          <w:tab w:val="left" w:pos="567" w:leader="none"/>
        </w:tabs>
        <w:ind w:hanging="1417" w:start="1417" w:end="0"/>
        <w:rPr/>
      </w:pPr>
      <w:r>
        <w:rPr/>
        <w:t>(c)</w:t>
        <w:tab/>
        <w:t>(i)</w:t>
        <w:tab/>
        <w:t xml:space="preserve">Would a Court in </w:t>
      </w:r>
      <w:r>
        <w:rPr>
          <w:lang w:val="en-US"/>
        </w:rPr>
        <w:t>China</w:t>
      </w:r>
      <w:r>
        <w:rPr/>
        <w:t xml:space="preserve"> enforce a judgment rendered by either (1) arbitrators in New York governed by the FAA and pursuant to the AAA Rules or (2) arbitrators in London pursuant to either the ICC or LCIA Rules?  </w:t>
      </w:r>
    </w:p>
    <w:p>
      <w:pPr>
        <w:pStyle w:val="Normal"/>
        <w:ind w:hanging="850" w:start="1417" w:end="0"/>
        <w:rPr/>
      </w:pPr>
      <w:r>
        <w:rPr/>
        <w:t>(ii)</w:t>
        <w:tab/>
        <w:t xml:space="preserve">Is there any possibility of the national or local courts of </w:t>
      </w:r>
      <w:r>
        <w:rPr>
          <w:lang w:val="en-US"/>
        </w:rPr>
        <w:t>China</w:t>
      </w:r>
      <w:r>
        <w:rPr/>
        <w:t xml:space="preserve"> challenging or otherwise intervening in relation to any award made by any such arbitral tribunal?  </w:t>
      </w:r>
    </w:p>
    <w:p>
      <w:pPr>
        <w:pStyle w:val="Normal"/>
        <w:ind w:hanging="850" w:start="1417" w:end="0"/>
        <w:rPr/>
      </w:pPr>
      <w:r>
        <w:rPr/>
        <w:t>(iii)</w:t>
        <w:tab/>
        <w:t xml:space="preserve">Would a party have any right to appeal to the courts in </w:t>
      </w:r>
      <w:r>
        <w:rPr>
          <w:lang w:val="en-US"/>
        </w:rPr>
        <w:t>China</w:t>
      </w:r>
      <w:r>
        <w:rPr/>
        <w:t xml:space="preserve"> in respect of an award made by either such body, or could it challenge the validity of the award? </w:t>
      </w:r>
    </w:p>
    <w:p>
      <w:pPr>
        <w:pStyle w:val="Normal"/>
        <w:ind w:hanging="567" w:start="567" w:end="0"/>
        <w:rPr/>
      </w:pPr>
      <w:r>
        <w:rPr/>
        <w:t>(d)</w:t>
        <w:tab/>
        <w:t xml:space="preserve">If an award of arbitrators pursuant to either form and location of arbitration as referred to in Section 1D(I) above is enforceable in the courts of </w:t>
      </w:r>
      <w:r>
        <w:rPr>
          <w:lang w:val="en-US"/>
        </w:rPr>
        <w:t>China,</w:t>
      </w:r>
      <w:r>
        <w:rPr/>
        <w:t xml:space="preserve"> would ECI experience any significant delays in such courts in seeking enforcement of such award?</w:t>
      </w:r>
    </w:p>
    <w:p>
      <w:pPr>
        <w:pStyle w:val="Normal"/>
        <w:keepNext w:val="true"/>
        <w:ind w:hanging="567" w:start="567" w:end="26"/>
        <w:rPr/>
      </w:pPr>
      <w:r>
        <w:rPr>
          <w:b/>
        </w:rPr>
        <w:t>E.</w:t>
        <w:tab/>
      </w:r>
      <w:r>
        <w:rPr>
          <w:b/>
          <w:u w:val="single"/>
        </w:rPr>
        <w:t>Events of Default, Insolvency and Early Termination</w:t>
      </w:r>
    </w:p>
    <w:p>
      <w:pPr>
        <w:pStyle w:val="Normal"/>
        <w:ind w:hanging="567" w:start="567" w:end="26"/>
        <w:rPr/>
      </w:pPr>
      <w:r>
        <w:rPr/>
        <w:t>(a)</w:t>
        <w:tab/>
        <w:t xml:space="preserve">Assuming that no Bankruptcy Proceeding (as such term is defined in the Master Agreement / GTCs) or similar event occurred to a Local Counterparty, if Chinese law were the governing law of a Transaction(s) (rather than New York or English Law) with that Local Counterparty, would a court in </w:t>
      </w:r>
      <w:r>
        <w:rPr>
          <w:lang w:val="en-US"/>
        </w:rPr>
        <w:t>China</w:t>
      </w:r>
      <w:r>
        <w:rPr/>
        <w:t xml:space="preserve"> enforce the Early Termination provisions of Section [6] of the Master Agreement or GTCs (including, but not limited to, the set-off provisions thereof) against a Local Counterparty?</w:t>
      </w:r>
    </w:p>
    <w:p>
      <w:pPr>
        <w:pStyle w:val="Normal"/>
        <w:ind w:hanging="567" w:start="567" w:end="26"/>
        <w:rPr/>
      </w:pPr>
      <w:r>
        <w:rPr/>
        <w:t>(b)</w:t>
        <w:tab/>
        <w:t xml:space="preserve">If the Master Agreement / GTCs (and their underlying Transactions) could be so terminated, would a court in </w:t>
      </w:r>
      <w:r>
        <w:rPr>
          <w:lang w:val="en-US"/>
        </w:rPr>
        <w:t>China</w:t>
      </w:r>
      <w:r>
        <w:rPr/>
        <w:t xml:space="preserve">, applying </w:t>
      </w:r>
      <w:r>
        <w:rPr>
          <w:lang w:val="en-US"/>
        </w:rPr>
        <w:t>Chinese</w:t>
      </w:r>
      <w:r>
        <w:rPr/>
        <w:t xml:space="preserve"> law, give effect to the Early Termination Payment provisions of the Master Agreement / GTCs, without requiring some additional act or condition (e.g. judicial approval or a statement before a notary in order to effect a set-off)?</w:t>
      </w:r>
    </w:p>
    <w:p>
      <w:pPr>
        <w:pStyle w:val="Normal"/>
        <w:ind w:hanging="567" w:start="567" w:end="26"/>
        <w:rPr/>
      </w:pPr>
      <w:r>
        <w:rPr/>
        <w:t>(c)</w:t>
        <w:tab/>
        <w:t xml:space="preserve">Would a court in </w:t>
      </w:r>
      <w:r>
        <w:rPr>
          <w:lang w:val="en-US"/>
        </w:rPr>
        <w:t>China,</w:t>
      </w:r>
      <w:r>
        <w:rPr/>
        <w:t xml:space="preserve"> applying </w:t>
      </w:r>
      <w:r>
        <w:rPr>
          <w:lang w:val="en-US"/>
        </w:rPr>
        <w:t>Chinese</w:t>
      </w:r>
      <w:r>
        <w:rPr/>
        <w:t xml:space="preserve"> law, enforce the said Early Termination and Early Termination Payment provisions of the Master Agreement / GTCs (including, but not limited to, the set-off provisions thereof) against a Local Counterparty after a Bankruptcy Proceeding has occurred to that Local Counterparty?  You may assume that ECI was not able to (or was able, but failed to) early terminate the Master Agreement / GTCs (and hence the underlying Transactions) before the Bankruptcy Proceeding.</w:t>
      </w:r>
    </w:p>
    <w:p>
      <w:pPr>
        <w:pStyle w:val="Normal"/>
        <w:ind w:hanging="567" w:start="567" w:end="26"/>
        <w:rPr/>
      </w:pPr>
      <w:r>
        <w:rPr/>
        <w:t>(d)</w:t>
        <w:tab/>
        <w:t>To the extent that ECI could not early terminate the Master Agreement/GTCs (and hence the underlying Transactions) on the basis of a Bankruptcy Proceeding or similar event occurring to the Local Counterparty, if at the time of the Bankruptcy Proceeding occurring there were two Transactions between ECI and that Local Counterparty under either a Master Agreement or subject to the GTCs, one such Transaction having a balance in favour of ECI and the other Transaction having a balance in favour of Local Counterparty, would the representative of the estate of the Local Counterparty be able selectively to choose to continue the Transaction favourable to the Local Counterparty and terminate the other Transaction (i.e., is “cherry-picking” permitted)?</w:t>
      </w:r>
    </w:p>
    <w:p>
      <w:pPr>
        <w:pStyle w:val="Normal"/>
        <w:ind w:hanging="567" w:start="567" w:end="0"/>
        <w:rPr/>
      </w:pPr>
      <w:r>
        <w:rPr/>
        <w:t>(e)</w:t>
        <w:tab/>
        <w:t>On the assumption that the Local Counterparty entering into Transactions with ECI was either:</w:t>
      </w:r>
    </w:p>
    <w:p>
      <w:pPr>
        <w:pStyle w:val="Normal"/>
        <w:ind w:hanging="567" w:start="1134" w:end="0"/>
        <w:rPr/>
      </w:pPr>
      <w:r>
        <w:rPr/>
        <w:t>(i)</w:t>
        <w:tab/>
        <w:t xml:space="preserve">incorporated in </w:t>
      </w:r>
      <w:r>
        <w:rPr>
          <w:lang w:val="en-US"/>
        </w:rPr>
        <w:t>China</w:t>
      </w:r>
      <w:r>
        <w:rPr/>
        <w:t xml:space="preserve"> but had a branch or other form of presence outside of </w:t>
      </w:r>
      <w:r>
        <w:rPr>
          <w:lang w:val="en-US"/>
        </w:rPr>
        <w:t>China</w:t>
      </w:r>
      <w:r>
        <w:rPr/>
        <w:t xml:space="preserve"> in another jurisdiction; or </w:t>
      </w:r>
    </w:p>
    <w:p>
      <w:pPr>
        <w:pStyle w:val="Normal"/>
        <w:ind w:hanging="567" w:start="1134" w:end="0"/>
        <w:rPr/>
      </w:pPr>
      <w:r>
        <w:rPr/>
        <w:t>(ii)</w:t>
        <w:tab/>
        <w:t xml:space="preserve">was incorporated outside of </w:t>
      </w:r>
      <w:r>
        <w:rPr>
          <w:lang w:val="en-US"/>
        </w:rPr>
        <w:t>China</w:t>
      </w:r>
      <w:r>
        <w:rPr/>
        <w:t xml:space="preserve"> but had a branch or other form of presence in </w:t>
      </w:r>
      <w:r>
        <w:rPr>
          <w:lang w:val="en-US"/>
        </w:rPr>
        <w:t>China</w:t>
      </w:r>
      <w:r>
        <w:rPr/>
        <w:t xml:space="preserve">, </w:t>
      </w:r>
    </w:p>
    <w:p>
      <w:pPr>
        <w:pStyle w:val="Normal"/>
        <w:ind w:start="567" w:end="0"/>
        <w:rPr/>
      </w:pPr>
      <w:r>
        <w:rPr/>
        <w:t xml:space="preserve">and the Local Counterparty became subject to a Bankruptcy Proceeding, then, in either case (I) or (II), and in the event that an insolvency official was appointed both to the Local Counterparty in </w:t>
      </w:r>
      <w:r>
        <w:rPr>
          <w:lang w:val="en-US"/>
        </w:rPr>
        <w:t>China</w:t>
      </w:r>
      <w:r>
        <w:rPr/>
        <w:t xml:space="preserve"> and to its presence in the jurisdiction outside of </w:t>
      </w:r>
      <w:r>
        <w:rPr>
          <w:lang w:val="en-US"/>
        </w:rPr>
        <w:t>China</w:t>
      </w:r>
      <w:r>
        <w:rPr/>
        <w:t>:</w:t>
      </w:r>
    </w:p>
    <w:p>
      <w:pPr>
        <w:pStyle w:val="Normal"/>
        <w:ind w:hanging="567" w:start="1134" w:end="0"/>
        <w:rPr/>
      </w:pPr>
      <w:r>
        <w:rPr/>
        <w:t>(i)</w:t>
        <w:tab/>
        <w:t>Would your answers to any of Section 1E(c) to (d), inclusive, above change in any manner?</w:t>
      </w:r>
    </w:p>
    <w:p>
      <w:pPr>
        <w:pStyle w:val="Normal"/>
        <w:ind w:hanging="567" w:start="1134" w:end="0"/>
        <w:rPr/>
      </w:pPr>
      <w:r>
        <w:rPr/>
        <w:t>(ii)</w:t>
        <w:tab/>
        <w:t xml:space="preserve">Does </w:t>
      </w:r>
      <w:r>
        <w:rPr>
          <w:lang w:val="en-US"/>
        </w:rPr>
        <w:t>China</w:t>
      </w:r>
      <w:r>
        <w:rPr/>
        <w:t xml:space="preserve"> have any bankruptcy treaties with any other countries and what is the effect of  such treaties?</w:t>
      </w:r>
    </w:p>
    <w:p>
      <w:pPr>
        <w:pStyle w:val="Normal"/>
        <w:ind w:hanging="567" w:start="1134" w:end="0"/>
        <w:rPr/>
      </w:pPr>
      <w:r>
        <w:rPr/>
        <w:t>(iii)</w:t>
        <w:tab/>
        <w:t xml:space="preserve">Would the insolvency of the Local Counterparty in </w:t>
      </w:r>
      <w:r>
        <w:rPr>
          <w:lang w:val="en-US"/>
        </w:rPr>
        <w:t>China</w:t>
      </w:r>
      <w:r>
        <w:rPr/>
        <w:t xml:space="preserve"> proceed without deference to, or being impacted in any manner by, any insolvency proceedings in any jurisdiction outside of </w:t>
      </w:r>
      <w:r>
        <w:rPr>
          <w:lang w:val="en-US"/>
        </w:rPr>
        <w:t>China</w:t>
      </w:r>
      <w:r>
        <w:rPr/>
        <w:t xml:space="preserve"> where the Local Counterparty also had a presence?</w:t>
      </w:r>
    </w:p>
    <w:p>
      <w:pPr>
        <w:pStyle w:val="Normal"/>
        <w:ind w:hanging="567" w:start="567" w:end="0"/>
        <w:rPr/>
      </w:pPr>
      <w:r>
        <w:rPr>
          <w:b/>
        </w:rPr>
        <w:t>F.</w:t>
      </w:r>
      <w:r>
        <w:rPr/>
        <w:tab/>
      </w:r>
      <w:r>
        <w:rPr>
          <w:b/>
          <w:u w:val="single"/>
        </w:rPr>
        <w:t>Liquidated Damages provisions</w:t>
      </w:r>
    </w:p>
    <w:p>
      <w:pPr>
        <w:pStyle w:val="Normal"/>
        <w:ind w:start="567" w:end="0"/>
        <w:rPr/>
      </w:pPr>
      <w:r>
        <w:rPr/>
        <w:t xml:space="preserve">If suit were brought in </w:t>
      </w:r>
      <w:r>
        <w:rPr>
          <w:lang w:val="en-US"/>
        </w:rPr>
        <w:t>China</w:t>
      </w:r>
      <w:r>
        <w:rPr/>
        <w:t xml:space="preserve"> by ECI to enforce the Liquidated Damages provisions of Section 3.5 of the Master Agreement / GTCs against the Local Counterparty, and the court in </w:t>
      </w:r>
      <w:r>
        <w:rPr>
          <w:lang w:val="en-US"/>
        </w:rPr>
        <w:t>China</w:t>
      </w:r>
      <w:r>
        <w:rPr/>
        <w:t xml:space="preserve"> applied the laws of </w:t>
      </w:r>
      <w:r>
        <w:rPr>
          <w:lang w:val="en-US"/>
        </w:rPr>
        <w:t>China</w:t>
      </w:r>
      <w:r>
        <w:rPr/>
        <w:t xml:space="preserve"> (either because the court did not enforce the choice of foreign law or because the parties elected for the laws of </w:t>
      </w:r>
      <w:r>
        <w:rPr>
          <w:lang w:val="en-US"/>
        </w:rPr>
        <w:t>China</w:t>
      </w:r>
      <w:r>
        <w:rPr/>
        <w:t xml:space="preserve"> to govern the Transactions) would those Liquidated Damages provisions be enforceable in all respects against the Local Counterparty?  Or would the court in </w:t>
      </w:r>
      <w:r>
        <w:rPr>
          <w:lang w:val="en-US"/>
        </w:rPr>
        <w:t>China</w:t>
      </w:r>
      <w:r>
        <w:rPr/>
        <w:t xml:space="preserve"> view such provisions as being unenforceable for being, for example, a penalty? </w:t>
      </w:r>
    </w:p>
    <w:p>
      <w:pPr>
        <w:pStyle w:val="Normal"/>
        <w:keepNext w:val="true"/>
        <w:ind w:hanging="567" w:start="567" w:end="0"/>
        <w:rPr/>
      </w:pPr>
      <w:r>
        <w:rPr>
          <w:b/>
        </w:rPr>
        <w:t>G.</w:t>
        <w:tab/>
      </w:r>
      <w:r>
        <w:rPr>
          <w:b/>
          <w:u w:val="single"/>
        </w:rPr>
        <w:t>Foreign Exchange Controls and Usury</w:t>
      </w:r>
    </w:p>
    <w:p>
      <w:pPr>
        <w:pStyle w:val="Normal"/>
        <w:ind w:hanging="567" w:start="567" w:end="0"/>
        <w:rPr/>
      </w:pPr>
      <w:r>
        <w:rPr/>
        <w:t>(a)</w:t>
        <w:tab/>
        <w:t xml:space="preserve">Transactions may require that payments be made in non-local currencies (e.g. United States Dollars) and delivered into </w:t>
      </w:r>
      <w:r>
        <w:rPr>
          <w:lang w:val="en-US"/>
        </w:rPr>
        <w:t>China</w:t>
      </w:r>
      <w:r>
        <w:rPr/>
        <w:t xml:space="preserve"> or a foreign jurisdiction.  To what extent are central bank approval or other foreign exchange controls in </w:t>
      </w:r>
      <w:r>
        <w:rPr>
          <w:lang w:val="en-US"/>
        </w:rPr>
        <w:t>China</w:t>
      </w:r>
      <w:r>
        <w:rPr/>
        <w:t xml:space="preserve"> applicable to payments made by either ECI or Local Counterparty to the other in respect of the Transactions?</w:t>
      </w:r>
    </w:p>
    <w:p>
      <w:pPr>
        <w:pStyle w:val="Normal"/>
        <w:tabs>
          <w:tab w:val="clear" w:pos="720"/>
          <w:tab w:val="left" w:pos="567" w:leader="none"/>
        </w:tabs>
        <w:ind w:hanging="1418" w:start="1418" w:end="0"/>
        <w:rPr/>
      </w:pPr>
      <w:r>
        <w:rPr/>
        <w:t>(b)</w:t>
        <w:tab/>
        <w:t>(i)</w:t>
        <w:tab/>
        <w:t xml:space="preserve">Are there any usury laws in </w:t>
      </w:r>
      <w:r>
        <w:rPr>
          <w:lang w:val="en-US"/>
        </w:rPr>
        <w:t>China</w:t>
      </w:r>
      <w:r>
        <w:rPr/>
        <w:t xml:space="preserve"> which may apply to the Transactions and, to the extent that usury laws apply, what are the rate restrictions?  </w:t>
      </w:r>
    </w:p>
    <w:p>
      <w:pPr>
        <w:pStyle w:val="Normal"/>
        <w:ind w:hanging="851" w:start="1418" w:end="0"/>
        <w:rPr/>
      </w:pPr>
      <w:r>
        <w:rPr/>
        <w:t>(ii)</w:t>
        <w:tab/>
        <w:t xml:space="preserve">Are there any available exemptions?  </w:t>
      </w:r>
    </w:p>
    <w:p>
      <w:pPr>
        <w:pStyle w:val="Normal"/>
        <w:ind w:hanging="851" w:start="1418" w:end="0"/>
        <w:rPr/>
      </w:pPr>
      <w:r>
        <w:rPr/>
        <w:t>(iii)</w:t>
        <w:tab/>
        <w:t>If no exemptions exist, what are the consequences as to enforceability and penalties?</w:t>
      </w:r>
    </w:p>
    <w:p>
      <w:pPr>
        <w:pStyle w:val="Normal"/>
        <w:keepNext w:val="true"/>
        <w:ind w:hanging="567" w:start="567" w:end="0"/>
        <w:rPr/>
      </w:pPr>
      <w:r>
        <w:rPr>
          <w:b/>
        </w:rPr>
        <w:t>H.</w:t>
        <w:tab/>
      </w:r>
      <w:r>
        <w:rPr>
          <w:b/>
          <w:u w:val="single"/>
        </w:rPr>
        <w:t>Taxation</w:t>
      </w:r>
    </w:p>
    <w:p>
      <w:pPr>
        <w:pStyle w:val="Normal"/>
        <w:ind w:start="567" w:end="0"/>
        <w:rPr/>
      </w:pPr>
      <w:r>
        <w:rPr/>
        <w:t xml:space="preserve">In respect of a Transaction, are there any taxes, duties or levies in </w:t>
      </w:r>
      <w:r>
        <w:rPr>
          <w:lang w:val="en-US"/>
        </w:rPr>
        <w:t>China</w:t>
      </w:r>
      <w:r>
        <w:rPr/>
        <w:t xml:space="preserve"> which would be imposed upon, and payable by, either the buyer or the seller under such Transaction (e.g., any sales or transactional taxes)?  Please answer this question from the alternative perspectives that either or both of ECI and the Local Counterparty is either (a) not incorporated in, nor has a branch or establishment in </w:t>
      </w:r>
      <w:r>
        <w:rPr>
          <w:lang w:val="en-US"/>
        </w:rPr>
        <w:t>China</w:t>
      </w:r>
      <w:r>
        <w:rPr/>
        <w:t xml:space="preserve"> or (b) is incorporated in, or has a branch or establishment in </w:t>
      </w:r>
      <w:r>
        <w:rPr>
          <w:lang w:val="en-US"/>
        </w:rPr>
        <w:t>China</w:t>
      </w:r>
      <w:r>
        <w:rPr/>
        <w:t>.</w:t>
      </w:r>
    </w:p>
    <w:p>
      <w:pPr>
        <w:pStyle w:val="Normal"/>
        <w:keepNext w:val="true"/>
        <w:ind w:hanging="567" w:start="567" w:end="26"/>
        <w:rPr>
          <w:b/>
        </w:rPr>
      </w:pPr>
      <w:r>
        <w:rPr>
          <w:b/>
        </w:rPr>
        <w:t>I.</w:t>
        <w:tab/>
      </w:r>
      <w:r>
        <w:rPr>
          <w:b/>
          <w:u w:val="single"/>
        </w:rPr>
        <w:t>Miscellaneous</w:t>
      </w:r>
    </w:p>
    <w:p>
      <w:pPr>
        <w:pStyle w:val="Normal"/>
        <w:ind w:hanging="567" w:start="567" w:end="0"/>
        <w:rPr/>
      </w:pPr>
      <w:r>
        <w:rPr/>
        <w:t>(a)</w:t>
        <w:tab/>
        <w:t xml:space="preserve">Are there any restrictions under local law in </w:t>
      </w:r>
      <w:r>
        <w:rPr>
          <w:lang w:val="en-US"/>
        </w:rPr>
        <w:t>China</w:t>
      </w:r>
      <w:r>
        <w:rPr/>
        <w:t xml:space="preserve"> that would apply to ECI’s marketing or solicitation efforts with respect to these Transactions?  If so, briefly describe.</w:t>
      </w:r>
    </w:p>
    <w:p>
      <w:pPr>
        <w:pStyle w:val="Normal"/>
        <w:ind w:hanging="567" w:start="567" w:end="0"/>
        <w:rPr/>
      </w:pPr>
      <w:r>
        <w:rPr/>
        <w:t>(b)</w:t>
        <w:tab/>
        <w:t xml:space="preserve">Would any consumer protection laws apply to the Transactions even though ECI will not be dealing with private individuals in </w:t>
      </w:r>
      <w:r>
        <w:rPr>
          <w:lang w:val="en-US"/>
        </w:rPr>
        <w:t>China</w:t>
      </w:r>
      <w:r>
        <w:rPr/>
        <w:t>?</w:t>
      </w:r>
    </w:p>
    <w:p>
      <w:pPr>
        <w:pStyle w:val="Normal"/>
        <w:ind w:hanging="567" w:start="567" w:end="0"/>
        <w:rPr/>
      </w:pPr>
      <w:r>
        <w:rPr/>
        <w:t>(c)</w:t>
        <w:tab/>
        <w:t xml:space="preserve">Are there any other legal or regulatory issues under laws or regulations in </w:t>
      </w:r>
      <w:r>
        <w:rPr>
          <w:lang w:val="en-US"/>
        </w:rPr>
        <w:t>China</w:t>
      </w:r>
      <w:r>
        <w:rPr/>
        <w:t xml:space="preserve"> relating to the Transactions and / or the Master Agreement and / or the GTCs of which ECI should be made aware?</w:t>
      </w:r>
      <w:r>
        <w:br w:type="page"/>
      </w:r>
    </w:p>
    <w:p>
      <w:pPr>
        <w:pStyle w:val="Normal"/>
        <w:ind w:hanging="709" w:start="709" w:end="0"/>
        <w:jc w:val="center"/>
        <w:rPr>
          <w:b/>
        </w:rPr>
      </w:pPr>
      <w:r>
        <w:rPr>
          <w:b/>
        </w:rPr>
        <w:t>SECTION 2. - TRADING BANDWIDTH WITHOUT ACTUAL PHYSICAL DELIVERY</w:t>
      </w:r>
    </w:p>
    <w:p>
      <w:pPr>
        <w:pStyle w:val="Normal"/>
        <w:keepNext w:val="true"/>
        <w:rPr>
          <w:i/>
          <w:i/>
        </w:rPr>
      </w:pPr>
      <w:r>
        <w:rPr>
          <w:i/>
        </w:rPr>
        <w:t xml:space="preserve">Introduction and explanation of closing-out Transactions before they go to physical delivery </w:t>
      </w:r>
    </w:p>
    <w:p>
      <w:pPr>
        <w:pStyle w:val="Normal"/>
        <w:rPr/>
      </w:pPr>
      <w:r>
        <w:rPr/>
        <w:t>Note:</w:t>
        <w:tab/>
        <w:t xml:space="preserve">The rationale for this Section 2 of this Memorandum is to elucidate whether the closing-out of Transactions between ECI and Local Counterparties before delivery, with, simply, financial settlement between those parties, would make such Transactions subject to any form of financial services regulation in </w:t>
      </w:r>
      <w:r>
        <w:rPr>
          <w:lang w:val="en-US"/>
        </w:rPr>
        <w:t>China.</w:t>
      </w:r>
    </w:p>
    <w:p>
      <w:pPr>
        <w:pStyle w:val="Normal"/>
        <w:rPr/>
      </w:pPr>
      <w:r>
        <w:rPr/>
        <w:t xml:space="preserve">Paragraphs A to [I], inclusive, of Section 1 above deal with the situation where, in a Transaction, a seller of Bandwidth (e.g. either ECI or the Local Counterparty) sells Bandwidth to a buyer (e.g., either the Local Counterparty or ECI) for ultimate </w:t>
      </w:r>
      <w:r>
        <w:rPr>
          <w:i/>
        </w:rPr>
        <w:t>physical</w:t>
      </w:r>
      <w:r>
        <w:rPr/>
        <w:t xml:space="preserve"> delivery of such Bandwidth by that seller to that buyer.  It may also be the case however that that Transaction may not go to actual </w:t>
      </w:r>
      <w:r>
        <w:rPr>
          <w:i/>
        </w:rPr>
        <w:t>physical</w:t>
      </w:r>
      <w:r>
        <w:rPr/>
        <w:t xml:space="preserve"> delivery as between ECI and the Local Counterparty but could be closed-out as between ECI and the Local Counterparty (with financial settlement only of amounts due between the parties) prior to the actual delivery date such that neither ECI nor Local Counterparty themselves have to make, or take, physical delivery of the Bandwidth originally contracted to be purchased and sold. Typically, this would be the case in any of the following scenarios:</w:t>
      </w:r>
    </w:p>
    <w:p>
      <w:pPr>
        <w:pStyle w:val="Normal"/>
        <w:ind w:hanging="709" w:start="709" w:end="0"/>
        <w:rPr/>
      </w:pPr>
      <w:r>
        <w:rPr/>
        <w:t>(a)</w:t>
        <w:tab/>
        <w:t xml:space="preserve">ECI contracts to buy Bandwidth from an entity (such entity termed herein “A”) with the intention, at the time of contracting, of taking physical delivery of the Bandwidth from A on its proposed delivery date. Before ECI is due to take physical delivery of such Bandwidth from A, ECI contracts to sell the Bandwidth which it has agreed to purchase from A to a Local Counterparty, the intention being, at that time, for ECI to make physical delivery of that Bandwidth to that Local Counterparty.  At some stage before the Local Counterparty is due to take physical delivery of that Bandwidth from ECI, however, the Local Counterparty contracts to sell that Bandwidth to another entity (such other entity termed herein “B”), with the intention, at that time, of making physical delivery to B on the proposed delivery date.  On the delivery date, A physically delivers the Bandwidth </w:t>
      </w:r>
      <w:r>
        <w:rPr>
          <w:i/>
        </w:rPr>
        <w:t>directly</w:t>
      </w:r>
      <w:r>
        <w:rPr/>
        <w:t xml:space="preserve"> to B – there is no physical delivery of Bandwidth, however, taken or made by either ECI or Local Counterparty.  ECI pays A for the Bandwidth which it contracted to purchase from A; Local Counterparty pays ECI for the Bandwidth which it contracted to purchase from ECI; B pays Local Counterparty for the Bandwidth which it contracted to purchase from the Local Counterparty.  Accordingly, there is only a financial settlement made in respect of the Transaction as between ECI and Local Counterparty.</w:t>
      </w:r>
    </w:p>
    <w:p>
      <w:pPr>
        <w:pStyle w:val="Normal"/>
        <w:ind w:hanging="709" w:start="709" w:end="0"/>
        <w:rPr/>
      </w:pPr>
      <w:r>
        <w:rPr/>
        <w:t>(b)</w:t>
        <w:tab/>
        <w:t>The same series of Transactions as detailed in example (a) are entered into but wherever in that paragraph there is a reference to “ECI” read, in substitution thereof, “Local Counterparty”; and wherever there is a reference in that paragraph to “Local Counterparty” read, in substitution thereof, “ECI”.</w:t>
      </w:r>
    </w:p>
    <w:p>
      <w:pPr>
        <w:pStyle w:val="Normal"/>
        <w:ind w:hanging="709" w:start="709" w:end="0"/>
        <w:rPr/>
      </w:pPr>
      <w:r>
        <w:rPr/>
        <w:t>(c)</w:t>
        <w:tab/>
        <w:t>ECI contracts to sell Bandwidth (which it has not yet purchased) to a Local Counterparty, with the intention, at the time of contracting, of making physical delivery of that Bandwidth, on the delivery date, to the Local Counterparty.  At some stage before physical delivery of that Bandwidth is due to occur, ECI contracts to buy equivalent Bandwidth from an entity (termed herein “A”) for intended physical delivery to the Local Counterparty to fulfil ECI’s commitments under its contract with the Local Counterparty. Before physical delivery of such Bandwidth is due to be made by ECI to the Local Counterparty, however, the Local Counterparty contracts to sell equivalent  Bandwidth to another entity (termed herein “B”) for intended physical delivery to B. On the due date for physical delivery of the Bandwidth, A delivers  Bandwidth directly to B – there is no physical delivery of Bandwidth, however, taken or made by either ECI or Local Counterparty.  Payment occurs amongst all the parties as in example (a) above.  Accordingly, there is only a financial settlement made in respect of the Transaction as between ECI and the Local Counterparty.</w:t>
      </w:r>
    </w:p>
    <w:p>
      <w:pPr>
        <w:pStyle w:val="Normal"/>
        <w:ind w:hanging="709" w:start="709" w:end="0"/>
        <w:rPr/>
      </w:pPr>
      <w:r>
        <w:rPr/>
        <w:t>(d)</w:t>
        <w:tab/>
        <w:t>The same series of Transactions as detailed in example (c) above are entered into but wherever in that paragraph there is a reference to “ECI” read, in substitution thereof, “Local Counterparty”; and wherever there is a reference in that paragraph to “Local Counterparty” read, in substitution thereof, “ECI”.</w:t>
      </w:r>
    </w:p>
    <w:p>
      <w:pPr>
        <w:pStyle w:val="Normal"/>
        <w:rPr/>
      </w:pPr>
      <w:r>
        <w:rPr/>
        <w:t xml:space="preserve">The types of Transactions referenced above in this Section 2 between ECI and the Local Counterparty will be agreed to and documented in the same manner in all respects as stated in the introductory paragraphs of this Memorandum.  In addition, if ECI representatives visit Local Counterparties in </w:t>
      </w:r>
      <w:r>
        <w:rPr>
          <w:lang w:val="en-US"/>
        </w:rPr>
        <w:t>China</w:t>
      </w:r>
      <w:r>
        <w:rPr/>
        <w:t xml:space="preserve"> to advertise or market Bandwidth Transactions to them, such representatives may refer to this ability to close-out such Transactions as between ECI and Local Counterparty, and simply to make financial settlement of such Transactions as between themselves, as mentioned, rather than for ECI or Local Counterparty actually themselves to make / take physical delivery of the Bandwidth.</w:t>
      </w:r>
    </w:p>
    <w:p>
      <w:pPr>
        <w:pStyle w:val="Normal"/>
        <w:rPr>
          <w:i/>
          <w:i/>
        </w:rPr>
      </w:pPr>
      <w:r>
        <w:rPr>
          <w:i/>
        </w:rPr>
        <w:t>Questions</w:t>
      </w:r>
    </w:p>
    <w:p>
      <w:pPr>
        <w:pStyle w:val="Normal"/>
        <w:rPr/>
      </w:pPr>
      <w:r>
        <w:rPr/>
        <w:t>In respect of such ability to close-out Transactions before physical delivery, with the parties merely making financial settlement of balances payable between them, would any of your answers change to the questions raised in paragraphs A to I, inclusive, above of Section 1 (when answering this question please pay particular, but not exclusive, attention to the questions raised in Section 1A)?</w:t>
      </w:r>
      <w:r>
        <w:br w:type="page"/>
      </w:r>
    </w:p>
    <w:p>
      <w:pPr>
        <w:pStyle w:val="Normal"/>
        <w:keepNext w:val="true"/>
        <w:jc w:val="center"/>
        <w:rPr>
          <w:b/>
        </w:rPr>
      </w:pPr>
      <w:r>
        <w:rPr>
          <w:b/>
        </w:rPr>
        <w:t>SECTION 3. – ESTABLISHMENT OF POOLING POINTS AND CONNECTION OF TELECOMMUNICATIONS NETWORKS TO POOLING POINTS</w:t>
      </w:r>
    </w:p>
    <w:p>
      <w:pPr>
        <w:pStyle w:val="Normal"/>
        <w:keepNext w:val="true"/>
        <w:rPr>
          <w:b/>
        </w:rPr>
      </w:pPr>
      <w:r>
        <w:rPr>
          <w:b/>
        </w:rPr>
        <w:t>A.</w:t>
        <w:tab/>
      </w:r>
      <w:r>
        <w:rPr>
          <w:b/>
          <w:u w:val="single"/>
        </w:rPr>
        <w:t xml:space="preserve">Establishment of Pooling Point in </w:t>
      </w:r>
      <w:r>
        <w:rPr>
          <w:b/>
          <w:u w:val="single"/>
          <w:lang w:val="en-US"/>
        </w:rPr>
        <w:t>China</w:t>
      </w:r>
      <w:r>
        <w:rPr>
          <w:b/>
          <w:u w:val="single"/>
        </w:rPr>
        <w:t xml:space="preserve"> by a Pooling Point Operator.</w:t>
      </w:r>
    </w:p>
    <w:p>
      <w:pPr>
        <w:pStyle w:val="Normal"/>
        <w:rPr>
          <w:i/>
          <w:i/>
        </w:rPr>
      </w:pPr>
      <w:r>
        <w:rPr>
          <w:i/>
        </w:rPr>
        <w:t>Introduction</w:t>
      </w:r>
    </w:p>
    <w:p>
      <w:pPr>
        <w:pStyle w:val="Normal"/>
        <w:rPr/>
      </w:pPr>
      <w:r>
        <w:rPr/>
        <w:t xml:space="preserve">It is envisaged that at same stage a Pooling Point may be established at a specific location in </w:t>
      </w:r>
      <w:r>
        <w:rPr>
          <w:lang w:val="en-US"/>
        </w:rPr>
        <w:t>China</w:t>
      </w:r>
      <w:r>
        <w:rPr/>
        <w:t xml:space="preserve"> (i.e., in a building at a specific address in Beijing).  Such Pooling Point would be owned and / or operated and / or administered by an entity which is termed herein a PPD.  Please note that the PPD may be a corporation(s) or partnership(s) but it/they would be a private entity(ies) rather than being a governmental or municipal entity(ies). </w:t>
      </w:r>
    </w:p>
    <w:p>
      <w:pPr>
        <w:pStyle w:val="Normal"/>
        <w:keepNext w:val="true"/>
        <w:rPr>
          <w:i/>
          <w:i/>
        </w:rPr>
      </w:pPr>
      <w:r>
        <w:rPr>
          <w:i/>
        </w:rPr>
        <w:t>Assumption</w:t>
      </w:r>
    </w:p>
    <w:p>
      <w:pPr>
        <w:pStyle w:val="Normal"/>
        <w:rPr/>
      </w:pPr>
      <w:r>
        <w:rPr/>
        <w:t xml:space="preserve">Assume when answering questions (a) to (d), inclusive, in this Section 3(A), that the PPD would not be incorporated in, nor have any branch or other form of presence in, </w:t>
      </w:r>
      <w:r>
        <w:rPr>
          <w:lang w:val="en-US"/>
        </w:rPr>
        <w:t>China</w:t>
      </w:r>
      <w:r>
        <w:rPr/>
        <w:t>.</w:t>
      </w:r>
    </w:p>
    <w:p>
      <w:pPr>
        <w:pStyle w:val="Normal"/>
        <w:rPr>
          <w:i/>
          <w:i/>
        </w:rPr>
      </w:pPr>
      <w:r>
        <w:rPr>
          <w:i/>
        </w:rPr>
        <w:t>Questions</w:t>
      </w:r>
    </w:p>
    <w:p>
      <w:pPr>
        <w:pStyle w:val="Normal"/>
        <w:ind w:hanging="709" w:start="709" w:end="0"/>
        <w:rPr/>
      </w:pPr>
      <w:r>
        <w:rPr/>
        <w:t>(a)</w:t>
        <w:tab/>
        <w:t xml:space="preserve">How would the establishment, ownership, operation or administration, of a Pooling Point fall to be examined and categorized under the telecoms regulatory regime in </w:t>
      </w:r>
      <w:r>
        <w:rPr>
          <w:lang w:val="en-US"/>
        </w:rPr>
        <w:t>China?</w:t>
      </w:r>
    </w:p>
    <w:p>
      <w:pPr>
        <w:pStyle w:val="Normal"/>
        <w:ind w:hanging="709" w:start="709" w:end="0"/>
        <w:rPr/>
      </w:pPr>
      <w:r>
        <w:rPr/>
        <w:t>(b)</w:t>
        <w:tab/>
        <w:t xml:space="preserve">Would any licences, permits, consents or other governmental or regulatory approvals (for example, in the form of telecommunications) licences be required to be obtained in </w:t>
      </w:r>
      <w:r>
        <w:rPr>
          <w:lang w:val="en-US"/>
        </w:rPr>
        <w:t>China</w:t>
      </w:r>
      <w:r>
        <w:rPr/>
        <w:t xml:space="preserve"> in order for the PPD to establish and/or own and/or operate and/or administer a Pooling Point in </w:t>
      </w:r>
      <w:r>
        <w:rPr>
          <w:lang w:val="en-US"/>
        </w:rPr>
        <w:t>China</w:t>
      </w:r>
      <w:r>
        <w:rPr/>
        <w:t>?  If so, please describe:</w:t>
      </w:r>
    </w:p>
    <w:p>
      <w:pPr>
        <w:pStyle w:val="Normal"/>
        <w:ind w:hanging="709" w:start="1418" w:end="0"/>
        <w:rPr/>
      </w:pPr>
      <w:r>
        <w:rPr/>
        <w:t>(i)</w:t>
        <w:tab/>
        <w:t>which licences, permits, consents or other approvals are required, if any, and from whom they are required to be obtained for each of (a) the Pooling Point itself and (b) the PPD?; and</w:t>
      </w:r>
    </w:p>
    <w:p>
      <w:pPr>
        <w:pStyle w:val="Normal"/>
        <w:ind w:hanging="709" w:start="1418" w:end="0"/>
        <w:rPr/>
      </w:pPr>
      <w:r>
        <w:rPr/>
        <w:t>(ii)</w:t>
        <w:tab/>
        <w:t>if licences or permits would be required, which types of licences or permits would be applicable e.g., an individual licence, class licence or exemptions? and</w:t>
      </w:r>
    </w:p>
    <w:p>
      <w:pPr>
        <w:pStyle w:val="Normal"/>
        <w:ind w:hanging="709" w:start="1418" w:end="0"/>
        <w:rPr/>
      </w:pPr>
      <w:r>
        <w:rPr/>
        <w:t>(iii)</w:t>
        <w:tab/>
        <w:t>briefly describe the procedure and approximately how long it would take for the PPD to obtain any such licences, consents or approvals.</w:t>
      </w:r>
    </w:p>
    <w:p>
      <w:pPr>
        <w:pStyle w:val="Normal"/>
        <w:ind w:hanging="709" w:start="709" w:end="0"/>
        <w:rPr/>
      </w:pPr>
      <w:r>
        <w:rPr/>
        <w:t>(c)</w:t>
        <w:tab/>
        <w:t xml:space="preserve">Which other elements of the telecoms regulatory regime in </w:t>
      </w:r>
      <w:r>
        <w:rPr>
          <w:lang w:val="en-US"/>
        </w:rPr>
        <w:t>China</w:t>
      </w:r>
      <w:r>
        <w:rPr/>
        <w:t xml:space="preserve"> would effect the establishment, ownership, operation or administration of a Pooling Point in </w:t>
      </w:r>
      <w:r>
        <w:rPr>
          <w:lang w:val="en-US"/>
        </w:rPr>
        <w:t>China</w:t>
      </w:r>
      <w:r>
        <w:rPr/>
        <w:t xml:space="preserve">?  For example, are there provisions relating to the publication of prices, limitation on prices, access control (third party access), interconnection/interoperability or technical interfacing which would affect or apply to the establishment, ownership, operation or administration of a Pooling Point in </w:t>
      </w:r>
      <w:r>
        <w:rPr>
          <w:lang w:val="en-US"/>
        </w:rPr>
        <w:t>China</w:t>
      </w:r>
      <w:r>
        <w:rPr/>
        <w:t>?</w:t>
      </w:r>
    </w:p>
    <w:p>
      <w:pPr>
        <w:pStyle w:val="Normal"/>
        <w:ind w:hanging="709" w:start="709" w:end="0"/>
        <w:rPr/>
      </w:pPr>
      <w:r>
        <w:rPr/>
        <w:t>(d)</w:t>
        <w:tab/>
        <w:t xml:space="preserve">Would the PPD be subject to the rules and regulations of any regulatory body in </w:t>
      </w:r>
      <w:r>
        <w:rPr>
          <w:lang w:val="en-US"/>
        </w:rPr>
        <w:t>China</w:t>
      </w:r>
      <w:r>
        <w:rPr/>
        <w:t xml:space="preserve"> in respect of the establishment and /or ownership and/or operation and / or administration of the Pooling Point?  If so, please:</w:t>
      </w:r>
    </w:p>
    <w:p>
      <w:pPr>
        <w:pStyle w:val="Normal"/>
        <w:ind w:hanging="709" w:start="1418" w:end="0"/>
        <w:rPr/>
      </w:pPr>
      <w:r>
        <w:rPr/>
        <w:t>(i)</w:t>
        <w:tab/>
        <w:t xml:space="preserve">identify and describe the nature of the regulatory body concerned; </w:t>
      </w:r>
    </w:p>
    <w:p>
      <w:pPr>
        <w:pStyle w:val="Normal"/>
        <w:ind w:hanging="709" w:start="1418" w:end="0"/>
        <w:rPr/>
      </w:pPr>
      <w:r>
        <w:rPr/>
        <w:t>(ii)</w:t>
        <w:tab/>
        <w:t xml:space="preserve">briefly describe the structure and composition of the regulatory body, including its powers and duties as they would relate to the ownership and / or establishment and / or operation and / or administration of the Pooling Point and/or the PPD; and </w:t>
      </w:r>
    </w:p>
    <w:p>
      <w:pPr>
        <w:pStyle w:val="Normal"/>
        <w:ind w:hanging="709" w:start="1418" w:end="0"/>
        <w:rPr/>
      </w:pPr>
      <w:r>
        <w:rPr/>
        <w:t>(iii)</w:t>
        <w:tab/>
        <w:t>briefly describe the obligations of the PPD to such regulatory body (including, but not limited to, any obligation there may be upon the PPD to provide periodic reports or other information to such body relating to the PPD and/or the Pooling Point); and</w:t>
      </w:r>
    </w:p>
    <w:p>
      <w:pPr>
        <w:pStyle w:val="Normal"/>
        <w:ind w:hanging="709" w:start="1418" w:end="0"/>
        <w:rPr/>
      </w:pPr>
      <w:r>
        <w:rPr/>
        <w:t>(iv)</w:t>
        <w:tab/>
        <w:t>would your answers to any of the questions contained in Section 3A(a), (b), (c) or (d) change in any manner if the ownership, operation and administration of the Pooling Point are not done by one and the same entity.</w:t>
      </w:r>
    </w:p>
    <w:p>
      <w:pPr>
        <w:pStyle w:val="Normal"/>
        <w:ind w:hanging="709" w:start="709" w:end="0"/>
        <w:rPr/>
      </w:pPr>
      <w:r>
        <w:rPr/>
        <w:t>(e)</w:t>
        <w:tab/>
        <w:t>A switching facility such as a Pooling Point is a highly attractive and effective interception point for law enforcement agencies wishing to ‘tap’ into calls (wiretapping).</w:t>
      </w:r>
    </w:p>
    <w:p>
      <w:pPr>
        <w:pStyle w:val="Normal"/>
        <w:ind w:hanging="709" w:start="1418" w:end="0"/>
        <w:rPr/>
      </w:pPr>
      <w:r>
        <w:rPr/>
        <w:t>(i)</w:t>
        <w:tab/>
        <w:t xml:space="preserve">If a law enforcement agency in </w:t>
      </w:r>
      <w:r>
        <w:rPr>
          <w:lang w:val="en-US"/>
        </w:rPr>
        <w:t>China</w:t>
      </w:r>
      <w:r>
        <w:rPr/>
        <w:t xml:space="preserve"> was to make a properly constituted request to intercept telecoms traffic at a Pooling Point, would the PPD be required under the laws of </w:t>
      </w:r>
      <w:r>
        <w:rPr>
          <w:lang w:val="en-US"/>
        </w:rPr>
        <w:t>China</w:t>
      </w:r>
      <w:r>
        <w:rPr/>
        <w:t xml:space="preserve"> to comply with such request?</w:t>
      </w:r>
    </w:p>
    <w:p>
      <w:pPr>
        <w:pStyle w:val="Normal"/>
        <w:ind w:hanging="709" w:start="1418" w:end="0"/>
        <w:rPr/>
      </w:pPr>
      <w:r>
        <w:rPr/>
        <w:t>(ii)</w:t>
        <w:tab/>
        <w:t>If the party to whom the request is made is required to allow the interception as requested by the law enforcement agencies, what is the penalty for non-compliance?</w:t>
      </w:r>
    </w:p>
    <w:p>
      <w:pPr>
        <w:pStyle w:val="Normal"/>
        <w:ind w:hanging="709" w:start="709" w:end="0"/>
        <w:rPr/>
      </w:pPr>
      <w:r>
        <w:rPr/>
        <w:t>(f)</w:t>
        <w:tab/>
        <w:t>Would any data protection laws apply to any data or other information flowing through the Pooling Point and, if so, how would such laws impact on the PPD?  Would the PPD be required to comply with such laws and, if so, how?</w:t>
      </w:r>
    </w:p>
    <w:p>
      <w:pPr>
        <w:pStyle w:val="Normal"/>
        <w:ind w:hanging="709" w:start="709" w:end="0"/>
        <w:rPr/>
      </w:pPr>
      <w:r>
        <w:rPr/>
        <w:t>(g)</w:t>
        <w:tab/>
        <w:t xml:space="preserve">Would the PPD need to be incorporated in, or have a branch in, or otherwise be established or have a presence in </w:t>
      </w:r>
      <w:r>
        <w:rPr>
          <w:lang w:val="en-US"/>
        </w:rPr>
        <w:t>China</w:t>
      </w:r>
      <w:r>
        <w:rPr/>
        <w:t xml:space="preserve"> in order to establish and / or own and / or operate and / or administer the Pooling Point in </w:t>
      </w:r>
      <w:r>
        <w:rPr>
          <w:lang w:val="en-US"/>
        </w:rPr>
        <w:t>China</w:t>
      </w:r>
      <w:r>
        <w:rPr/>
        <w:t xml:space="preserve">?  If so, please specify what type of entity(ies) the PPD would be required to establish in </w:t>
      </w:r>
      <w:r>
        <w:rPr>
          <w:lang w:val="en-US"/>
        </w:rPr>
        <w:t>China</w:t>
      </w:r>
      <w:r>
        <w:rPr/>
        <w:t>.</w:t>
      </w:r>
    </w:p>
    <w:p>
      <w:pPr>
        <w:pStyle w:val="Normal"/>
        <w:ind w:hanging="709" w:start="709" w:end="0"/>
        <w:rPr/>
      </w:pPr>
      <w:r>
        <w:rPr/>
        <w:t>(h)</w:t>
        <w:tab/>
        <w:t xml:space="preserve">In the event that the PPD did establish a type of entity(ies) in </w:t>
      </w:r>
      <w:r>
        <w:rPr>
          <w:lang w:val="en-US"/>
        </w:rPr>
        <w:t>China</w:t>
      </w:r>
      <w:r>
        <w:rPr/>
        <w:t xml:space="preserve"> (either voluntarily or pursuant to any requirement as you may mention in your answer to Section 3A(g)), in that regard would any of your answers to the questions set out in this Section 3A(a) to (f), inclusive, above change in any respect and, if so, how?   </w:t>
      </w:r>
    </w:p>
    <w:p>
      <w:pPr>
        <w:pStyle w:val="Normal"/>
        <w:keepNext w:val="true"/>
        <w:rPr/>
      </w:pPr>
      <w:r>
        <w:rPr>
          <w:b/>
        </w:rPr>
        <w:t>B</w:t>
        <w:tab/>
      </w:r>
      <w:r>
        <w:rPr>
          <w:b/>
          <w:u w:val="single"/>
        </w:rPr>
        <w:t>Connection of a telecommunications network to the Pooling Point.</w:t>
      </w:r>
    </w:p>
    <w:p>
      <w:pPr>
        <w:pStyle w:val="Normal"/>
        <w:rPr>
          <w:i/>
          <w:i/>
        </w:rPr>
      </w:pPr>
      <w:r>
        <w:rPr>
          <w:i/>
        </w:rPr>
        <w:t>Introduction</w:t>
      </w:r>
    </w:p>
    <w:p>
      <w:pPr>
        <w:pStyle w:val="Normal"/>
        <w:rPr/>
      </w:pPr>
      <w:r>
        <w:rPr/>
        <w:t xml:space="preserve">As will be seen from the definition of Pooling Point, the Pooling Point would physically have connected to it various telecommunication networks, equipment, facilities or circuits (each a “Network”), each owned, leased or operated by various third parties (each such third party termed herein a “Network Operator”).  </w:t>
      </w:r>
    </w:p>
    <w:p>
      <w:pPr>
        <w:pStyle w:val="Normal"/>
        <w:rPr>
          <w:i/>
          <w:i/>
        </w:rPr>
      </w:pPr>
      <w:r>
        <w:rPr>
          <w:i/>
        </w:rPr>
        <w:t>Assumptions</w:t>
      </w:r>
    </w:p>
    <w:p>
      <w:pPr>
        <w:pStyle w:val="Normal"/>
        <w:rPr/>
      </w:pPr>
      <w:r>
        <w:rPr/>
        <w:t>When answering questions (a) to (f), inclusive, in this Section 3(B), please answer each question assuming:</w:t>
      </w:r>
    </w:p>
    <w:p>
      <w:pPr>
        <w:pStyle w:val="Normal"/>
        <w:ind w:hanging="709" w:start="709" w:end="0"/>
        <w:rPr/>
      </w:pPr>
      <w:r>
        <w:rPr/>
        <w:t>(i)</w:t>
        <w:tab/>
        <w:t xml:space="preserve">the Network Operator is neither incorporated in, nor has a branch or other establishment or presence in </w:t>
      </w:r>
      <w:r>
        <w:rPr>
          <w:lang w:val="en-US"/>
        </w:rPr>
        <w:t>China</w:t>
      </w:r>
      <w:r>
        <w:rPr/>
        <w:t xml:space="preserve">; and </w:t>
      </w:r>
    </w:p>
    <w:p>
      <w:pPr>
        <w:pStyle w:val="Normal"/>
        <w:ind w:hanging="709" w:start="709" w:end="0"/>
        <w:rPr/>
      </w:pPr>
      <w:r>
        <w:rPr/>
        <w:t>(ii)</w:t>
        <w:tab/>
        <w:t xml:space="preserve">the Network Operator is incorporated in, or has a branch or other establishment in </w:t>
      </w:r>
      <w:r>
        <w:rPr>
          <w:lang w:val="en-US"/>
        </w:rPr>
        <w:t>China</w:t>
      </w:r>
      <w:r>
        <w:rPr/>
        <w:t>; and</w:t>
      </w:r>
    </w:p>
    <w:p>
      <w:pPr>
        <w:pStyle w:val="Normal"/>
        <w:ind w:hanging="709" w:start="709" w:end="0"/>
        <w:rPr/>
      </w:pPr>
      <w:r>
        <w:rPr/>
        <w:t>(iii)</w:t>
        <w:tab/>
        <w:t xml:space="preserve">that the Pooling Point is located at a particular address in a city or town in </w:t>
      </w:r>
      <w:r>
        <w:rPr>
          <w:lang w:val="en-US"/>
        </w:rPr>
        <w:t>China</w:t>
      </w:r>
      <w:r>
        <w:rPr/>
        <w:t>.</w:t>
      </w:r>
    </w:p>
    <w:p>
      <w:pPr>
        <w:pStyle w:val="Normal"/>
        <w:rPr>
          <w:i/>
          <w:i/>
        </w:rPr>
      </w:pPr>
      <w:r>
        <w:rPr>
          <w:i/>
        </w:rPr>
        <w:t>Questions</w:t>
      </w:r>
    </w:p>
    <w:p>
      <w:pPr>
        <w:pStyle w:val="Normal"/>
        <w:tabs>
          <w:tab w:val="clear" w:pos="720"/>
          <w:tab w:val="left" w:pos="567" w:leader="none"/>
        </w:tabs>
        <w:ind w:hanging="1418" w:start="1418" w:end="0"/>
        <w:rPr/>
      </w:pPr>
      <w:r>
        <w:rPr/>
        <w:t>(a)</w:t>
        <w:tab/>
        <w:t>(i)</w:t>
        <w:tab/>
        <w:t xml:space="preserve">How would the connection of a Network to a Pooling Point in </w:t>
      </w:r>
      <w:r>
        <w:rPr>
          <w:lang w:val="en-US"/>
        </w:rPr>
        <w:t>China</w:t>
      </w:r>
      <w:r>
        <w:rPr/>
        <w:t xml:space="preserve"> fall to be examined or categorized under the telecoms regulatory regime in </w:t>
      </w:r>
      <w:r>
        <w:rPr>
          <w:lang w:val="en-US"/>
        </w:rPr>
        <w:t>China</w:t>
      </w:r>
      <w:r>
        <w:rPr/>
        <w:t>?</w:t>
      </w:r>
    </w:p>
    <w:p>
      <w:pPr>
        <w:pStyle w:val="Normal"/>
        <w:ind w:hanging="851" w:start="1418" w:end="0"/>
        <w:rPr/>
      </w:pPr>
      <w:r>
        <w:rPr/>
        <w:t>(ii)</w:t>
        <w:tab/>
        <w:t xml:space="preserve">What forms of telecommunications licences would be required, if any, and how would these be obtained, in respect of the connection of a Network by a Network Operator to a Pooling Point in </w:t>
      </w:r>
      <w:r>
        <w:rPr>
          <w:lang w:val="en-US"/>
        </w:rPr>
        <w:t>China</w:t>
      </w:r>
      <w:r>
        <w:rPr/>
        <w:t xml:space="preserve"> and would these need to be obtained by either the Network Operator concerned and/or the PPD?</w:t>
      </w:r>
    </w:p>
    <w:p>
      <w:pPr>
        <w:pStyle w:val="Normal"/>
        <w:ind w:hanging="851" w:start="1418" w:end="0"/>
        <w:rPr/>
      </w:pPr>
      <w:r>
        <w:rPr/>
        <w:t>(iii)</w:t>
        <w:tab/>
        <w:t>Which type of licence would be applicable, if any, e.g., individual licence, class licence or exemption?</w:t>
      </w:r>
    </w:p>
    <w:p>
      <w:pPr>
        <w:pStyle w:val="Normal"/>
        <w:ind w:hanging="709" w:start="709" w:end="0"/>
        <w:rPr/>
      </w:pPr>
      <w:r>
        <w:rPr/>
        <w:t>(b)</w:t>
        <w:tab/>
        <w:t xml:space="preserve">Which other elements of the telecoms regulatory regime in </w:t>
      </w:r>
      <w:r>
        <w:rPr>
          <w:lang w:val="en-US"/>
        </w:rPr>
        <w:t>China</w:t>
      </w:r>
      <w:r>
        <w:rPr/>
        <w:t xml:space="preserve"> would effect the connection of a Network by a Network Operator to a Pooling Point in </w:t>
      </w:r>
      <w:r>
        <w:rPr>
          <w:lang w:val="en-US"/>
        </w:rPr>
        <w:t>China</w:t>
      </w:r>
      <w:r>
        <w:rPr/>
        <w:t xml:space="preserve">?  For example, are there provisions relating to the publication of prices, limitation on prices, access control (third party access), interconnection/interoperability or technical interfacing which would affect such connection of a Network by a Network Operator to a Pooling Point in </w:t>
      </w:r>
      <w:r>
        <w:rPr>
          <w:lang w:val="en-US"/>
        </w:rPr>
        <w:t>China</w:t>
      </w:r>
      <w:r>
        <w:rPr/>
        <w:t>?</w:t>
      </w:r>
    </w:p>
    <w:p>
      <w:pPr>
        <w:pStyle w:val="Normal"/>
        <w:tabs>
          <w:tab w:val="clear" w:pos="720"/>
          <w:tab w:val="left" w:pos="567" w:leader="none"/>
        </w:tabs>
        <w:ind w:hanging="1440" w:start="1440" w:end="0"/>
        <w:rPr/>
      </w:pPr>
      <w:r>
        <w:rPr/>
        <w:t>(c)</w:t>
        <w:tab/>
        <w:t>(i)</w:t>
        <w:tab/>
        <w:t xml:space="preserve">If different licences are necessary for those who operate Networks as opposed to those who merely provide services over those Networks in </w:t>
      </w:r>
      <w:r>
        <w:rPr>
          <w:lang w:val="en-US"/>
        </w:rPr>
        <w:t>China</w:t>
      </w:r>
      <w:r>
        <w:rPr/>
        <w:t>, into which such category or categories would a Network Operator and/or PPD fall in respect of the connection of a Network to a Pooling Point?</w:t>
      </w:r>
    </w:p>
    <w:p>
      <w:pPr>
        <w:pStyle w:val="Normal"/>
        <w:ind w:hanging="851" w:start="1418" w:end="0"/>
        <w:rPr/>
      </w:pPr>
      <w:r>
        <w:rPr/>
        <w:t>(ii)</w:t>
        <w:tab/>
        <w:t>Is the above position in Section 3B(c)(i) be altered, and if so how, if the ownership of the Network and the operation of it are not done by one and the same entity?</w:t>
      </w:r>
    </w:p>
    <w:p>
      <w:pPr>
        <w:pStyle w:val="Normal"/>
        <w:ind w:hanging="709" w:start="709" w:end="0"/>
        <w:rPr/>
      </w:pPr>
      <w:r>
        <w:rPr/>
        <w:t>(d)</w:t>
        <w:tab/>
        <w:t xml:space="preserve">Would any other form of licences, permits, consents or other governmental approvals be required in </w:t>
      </w:r>
      <w:r>
        <w:rPr>
          <w:lang w:val="en-US"/>
        </w:rPr>
        <w:t>China</w:t>
      </w:r>
      <w:r>
        <w:rPr/>
        <w:t xml:space="preserve"> in order for a Network Operator to establish and/or own and/or operate a Network in </w:t>
      </w:r>
      <w:r>
        <w:rPr>
          <w:lang w:val="en-US"/>
        </w:rPr>
        <w:t>China</w:t>
      </w:r>
      <w:r>
        <w:rPr/>
        <w:t>?  If so, please describe.</w:t>
      </w:r>
    </w:p>
    <w:p>
      <w:pPr>
        <w:pStyle w:val="Normal"/>
        <w:ind w:hanging="709" w:start="709" w:end="0"/>
        <w:rPr/>
      </w:pPr>
      <w:r>
        <w:rPr/>
        <w:t>(e)</w:t>
        <w:tab/>
        <w:t xml:space="preserve">Would any other form of licences, permits, consents or other governmental approvals be required in </w:t>
      </w:r>
      <w:r>
        <w:rPr>
          <w:lang w:val="en-US"/>
        </w:rPr>
        <w:t>China</w:t>
      </w:r>
      <w:r>
        <w:rPr/>
        <w:t xml:space="preserve"> in order for a Network Operator to connect a Network owned or operated by it to a Pooling Point located in </w:t>
      </w:r>
      <w:r>
        <w:rPr>
          <w:lang w:val="en-US"/>
        </w:rPr>
        <w:t>China</w:t>
      </w:r>
      <w:r>
        <w:rPr/>
        <w:t xml:space="preserve">?  If so, please describe. </w:t>
      </w:r>
    </w:p>
    <w:p>
      <w:pPr>
        <w:pStyle w:val="Normal"/>
        <w:ind w:hanging="709" w:start="709" w:end="0"/>
        <w:rPr/>
      </w:pPr>
      <w:r>
        <w:rPr/>
        <w:t>(f)</w:t>
        <w:tab/>
        <w:t xml:space="preserve">For each of the respective situations set out in questions (a) to (e) of this Section 3(B), would a Network Operator and/or a PPD be subject to the rules and regulations of any regulatory body in </w:t>
      </w:r>
      <w:r>
        <w:rPr>
          <w:lang w:val="en-US"/>
        </w:rPr>
        <w:t>China</w:t>
      </w:r>
      <w:r>
        <w:rPr/>
        <w:t>?  If so, please describe.</w:t>
      </w:r>
    </w:p>
    <w:p>
      <w:pPr>
        <w:pStyle w:val="Normal"/>
        <w:ind w:hanging="709" w:start="709" w:end="0"/>
        <w:rPr/>
      </w:pPr>
      <w:r>
        <w:rPr/>
        <w:t>(g)</w:t>
        <w:tab/>
        <w:t xml:space="preserve">Would a Network Operator need to be incorporated in, form a branch in, or otherwise be established or have a presence in </w:t>
      </w:r>
      <w:r>
        <w:rPr>
          <w:lang w:val="en-US"/>
        </w:rPr>
        <w:t>China</w:t>
      </w:r>
      <w:r>
        <w:rPr/>
        <w:t xml:space="preserve"> in order for a Network Operator to establish, own or operate a Network in </w:t>
      </w:r>
      <w:r>
        <w:rPr>
          <w:lang w:val="en-US"/>
        </w:rPr>
        <w:t>China</w:t>
      </w:r>
      <w:r>
        <w:rPr/>
        <w:t xml:space="preserve"> or for it to connect a Network owned or operated by it to a Pooling Point located in </w:t>
      </w:r>
      <w:r>
        <w:rPr>
          <w:lang w:val="en-US"/>
        </w:rPr>
        <w:t>China</w:t>
      </w:r>
      <w:r>
        <w:rPr/>
        <w:t xml:space="preserve">?  If so, (i) please describe the type of entity concerned and (ii) please state whether any of your answers to the questions set out in paragraphs 3B(a) to (f), inclusive, would change, and if so, how, in the event that a Network Operator established such entity in </w:t>
      </w:r>
      <w:r>
        <w:rPr>
          <w:lang w:val="en-US"/>
        </w:rPr>
        <w:t>China</w:t>
      </w:r>
      <w:r>
        <w:rPr/>
        <w:t>.</w:t>
      </w:r>
    </w:p>
    <w:p>
      <w:pPr>
        <w:pStyle w:val="Normal"/>
        <w:keepNext w:val="true"/>
        <w:ind w:hanging="567" w:start="567" w:end="0"/>
        <w:rPr/>
      </w:pPr>
      <w:r>
        <w:rPr>
          <w:b/>
        </w:rPr>
        <w:t>C.</w:t>
        <w:tab/>
      </w:r>
      <w:r>
        <w:rPr>
          <w:b/>
          <w:u w:val="single"/>
        </w:rPr>
        <w:t>Taxation</w:t>
      </w:r>
    </w:p>
    <w:p>
      <w:pPr>
        <w:pStyle w:val="Normal"/>
        <w:ind w:hanging="567" w:start="567" w:end="0"/>
        <w:rPr/>
      </w:pPr>
      <w:r>
        <w:rPr/>
        <w:t>(a)</w:t>
        <w:tab/>
        <w:t xml:space="preserve">If your answer to Section 3A(g) above is no, nevertheless, would a PPD be deemed to have a branch or establishment in </w:t>
      </w:r>
      <w:r>
        <w:rPr>
          <w:lang w:val="en-US"/>
        </w:rPr>
        <w:t>China</w:t>
      </w:r>
      <w:r>
        <w:rPr/>
        <w:t xml:space="preserve"> so as to bring such PPD within the scope of taxation in </w:t>
      </w:r>
      <w:r>
        <w:rPr>
          <w:lang w:val="en-US"/>
        </w:rPr>
        <w:t>China</w:t>
      </w:r>
      <w:r>
        <w:rPr/>
        <w:t xml:space="preserve">, by virtue of its establishment, ownership, operation or administration of a Pooling Point in </w:t>
      </w:r>
      <w:r>
        <w:rPr>
          <w:lang w:val="en-US"/>
        </w:rPr>
        <w:t>China</w:t>
      </w:r>
      <w:r>
        <w:rPr/>
        <w:t>?</w:t>
      </w:r>
    </w:p>
    <w:p>
      <w:pPr>
        <w:pStyle w:val="Normal"/>
        <w:ind w:hanging="567" w:start="567" w:end="0"/>
        <w:rPr/>
      </w:pPr>
      <w:r>
        <w:rPr/>
        <w:t>(b)</w:t>
        <w:tab/>
        <w:t xml:space="preserve">If a PPD is incorporated in, or has a branch or other establishment in </w:t>
      </w:r>
      <w:r>
        <w:rPr>
          <w:lang w:val="en-US"/>
        </w:rPr>
        <w:t>China</w:t>
      </w:r>
      <w:r>
        <w:rPr/>
        <w:t xml:space="preserve">, or is deemed to be incorporated in or to have a branch or other establishment in </w:t>
      </w:r>
      <w:r>
        <w:rPr>
          <w:lang w:val="en-US"/>
        </w:rPr>
        <w:t>China</w:t>
      </w:r>
      <w:r>
        <w:rPr/>
        <w:t xml:space="preserve">, would it be subject to any taxes, duties or levies in </w:t>
      </w:r>
      <w:r>
        <w:rPr>
          <w:lang w:val="en-US"/>
        </w:rPr>
        <w:t>China</w:t>
      </w:r>
      <w:r>
        <w:rPr/>
        <w:t xml:space="preserve"> in respect of the interconnection facilities between Networks provided by the PPD through the Pooling Point?  You may assume that the PPD will charge fees to parties for the provision of such interconnection facilities. </w:t>
      </w:r>
    </w:p>
    <w:p>
      <w:pPr>
        <w:pStyle w:val="Normal"/>
        <w:ind w:hanging="567" w:start="567" w:end="0"/>
        <w:rPr/>
      </w:pPr>
      <w:r>
        <w:rPr/>
        <w:t>(c)</w:t>
        <w:tab/>
        <w:t xml:space="preserve">If a PPD is not incorporated in, and does not have a branch or other establishment in </w:t>
      </w:r>
      <w:r>
        <w:rPr>
          <w:lang w:val="en-US"/>
        </w:rPr>
        <w:t>China,</w:t>
      </w:r>
      <w:r>
        <w:rPr/>
        <w:t xml:space="preserve"> nor is deemed to be incorporated in, or to have a branch or other establishment in </w:t>
      </w:r>
      <w:r>
        <w:rPr>
          <w:lang w:val="en-US"/>
        </w:rPr>
        <w:t>China</w:t>
      </w:r>
      <w:r>
        <w:rPr/>
        <w:t xml:space="preserve">, would it be subject to any taxes, duties or levies in </w:t>
      </w:r>
      <w:r>
        <w:rPr>
          <w:lang w:val="en-US"/>
        </w:rPr>
        <w:t>China</w:t>
      </w:r>
      <w:r>
        <w:rPr/>
        <w:t xml:space="preserve"> payable in respect of the interconnection facilities between Networks  provided by the PPD through the Pooling Point? You may assume that the PPD will charge fees to parties for the provision of such interconnection facilities. </w:t>
      </w:r>
    </w:p>
    <w:p>
      <w:pPr>
        <w:pStyle w:val="Normal"/>
        <w:ind w:hanging="567" w:start="567" w:end="0"/>
        <w:rPr/>
      </w:pPr>
      <w:r>
        <w:rPr/>
        <w:t>(d)</w:t>
        <w:tab/>
        <w:t xml:space="preserve">If the answer to Section 3B(g) above is no, nevertheless, would a Network Operator be deemed to have a branch or establishment in </w:t>
      </w:r>
      <w:r>
        <w:rPr>
          <w:lang w:val="en-US"/>
        </w:rPr>
        <w:t>China</w:t>
      </w:r>
      <w:r>
        <w:rPr/>
        <w:t xml:space="preserve"> either by virtue of establishing, owning or operating a Network in </w:t>
      </w:r>
      <w:r>
        <w:rPr>
          <w:lang w:val="en-US"/>
        </w:rPr>
        <w:t>China</w:t>
      </w:r>
      <w:r>
        <w:rPr/>
        <w:t xml:space="preserve"> or by virtue of connecting a Network to a Pooling Point in </w:t>
      </w:r>
      <w:r>
        <w:rPr>
          <w:lang w:val="en-US"/>
        </w:rPr>
        <w:t>China</w:t>
      </w:r>
      <w:r>
        <w:rPr/>
        <w:t xml:space="preserve">, so as to bring such Network Operator within the scope of taxation in </w:t>
      </w:r>
      <w:r>
        <w:rPr>
          <w:lang w:val="en-US"/>
        </w:rPr>
        <w:t>China</w:t>
      </w:r>
      <w:r>
        <w:rPr/>
        <w:t>?</w:t>
      </w:r>
    </w:p>
    <w:p>
      <w:pPr>
        <w:pStyle w:val="Normal"/>
        <w:ind w:hanging="567" w:start="567" w:end="0"/>
        <w:rPr/>
      </w:pPr>
      <w:r>
        <w:rPr/>
        <w:t>(e)</w:t>
        <w:tab/>
        <w:t xml:space="preserve">If a Network Operator is incorporated in or has a branch or other establishment in </w:t>
      </w:r>
      <w:r>
        <w:rPr>
          <w:lang w:val="en-US"/>
        </w:rPr>
        <w:t>China</w:t>
      </w:r>
      <w:r>
        <w:rPr/>
        <w:t xml:space="preserve">, or is deemed to be incorporated in or to have a branch or other establishment in </w:t>
      </w:r>
      <w:r>
        <w:rPr>
          <w:lang w:val="en-US"/>
        </w:rPr>
        <w:t>China</w:t>
      </w:r>
      <w:r>
        <w:rPr/>
        <w:t xml:space="preserve">, would it be subject to any taxes, duties or levies payable in </w:t>
      </w:r>
      <w:r>
        <w:rPr>
          <w:lang w:val="en-US"/>
        </w:rPr>
        <w:t>China</w:t>
      </w:r>
      <w:r>
        <w:rPr/>
        <w:t xml:space="preserve"> in respect of connection of a Network owned or operated by it to a Pooling Point in </w:t>
      </w:r>
      <w:r>
        <w:rPr>
          <w:lang w:val="en-US"/>
        </w:rPr>
        <w:t>China</w:t>
      </w:r>
      <w:r>
        <w:rPr/>
        <w:t>?</w:t>
      </w:r>
    </w:p>
    <w:p>
      <w:pPr>
        <w:pStyle w:val="Normal"/>
        <w:ind w:hanging="567" w:start="567" w:end="0"/>
        <w:rPr/>
      </w:pPr>
      <w:r>
        <w:rPr/>
        <w:t>(f)</w:t>
        <w:tab/>
        <w:t xml:space="preserve">If a Network Operator is not incorporated in, and does not have a branch or other establishment in </w:t>
      </w:r>
      <w:r>
        <w:rPr>
          <w:lang w:val="en-US"/>
        </w:rPr>
        <w:t>China</w:t>
      </w:r>
      <w:r>
        <w:rPr/>
        <w:t xml:space="preserve">, nor is deemed to be incorporated in, or to have a branch or other establishment in </w:t>
      </w:r>
      <w:r>
        <w:rPr>
          <w:lang w:val="en-US"/>
        </w:rPr>
        <w:t>China</w:t>
      </w:r>
      <w:r>
        <w:rPr/>
        <w:t xml:space="preserve">, would it be subject to any taxes, duties or levies payable in </w:t>
      </w:r>
      <w:r>
        <w:rPr>
          <w:lang w:val="en-US"/>
        </w:rPr>
        <w:t>China</w:t>
      </w:r>
      <w:r>
        <w:rPr/>
        <w:t xml:space="preserve"> in respect of the connection of a Network owned or operated by it to a Pooling Point in </w:t>
      </w:r>
      <w:r>
        <w:rPr>
          <w:lang w:val="en-US"/>
        </w:rPr>
        <w:t>China</w:t>
      </w:r>
      <w:r>
        <w:rPr/>
        <w:t>?</w:t>
      </w:r>
      <w:r>
        <w:br w:type="page"/>
      </w:r>
    </w:p>
    <w:p>
      <w:pPr>
        <w:pStyle w:val="Normal"/>
        <w:ind w:hanging="567" w:start="567" w:end="0"/>
        <w:jc w:val="center"/>
        <w:rPr>
          <w:b/>
        </w:rPr>
      </w:pPr>
      <w:r>
        <w:rPr>
          <w:b/>
        </w:rPr>
        <w:t>SECTION 4. - TRANSACTIONS OVER A SEGMENT BETWEEN POOLING POINTS, EITHER OR BOTH OF WHICH MAY BE LOCATED IN CHINA.</w:t>
      </w:r>
    </w:p>
    <w:p>
      <w:pPr>
        <w:pStyle w:val="Normal"/>
        <w:rPr>
          <w:b/>
        </w:rPr>
      </w:pPr>
      <w:r>
        <w:rPr>
          <w:i/>
        </w:rPr>
        <w:t>Assumptions</w:t>
      </w:r>
    </w:p>
    <w:p>
      <w:pPr>
        <w:pStyle w:val="Normal"/>
        <w:rPr/>
      </w:pPr>
      <w:r>
        <w:rPr/>
        <w:t xml:space="preserve">You will note that in Sections 1 and 2 of this Questionnaire, you were asked to answer the questions in those Sections assuming that the Segment which is the subject of a Transaction is between specific addresses each of which is located outside of </w:t>
      </w:r>
      <w:r>
        <w:rPr>
          <w:lang w:val="en-US"/>
        </w:rPr>
        <w:t>China</w:t>
      </w:r>
      <w:r>
        <w:rPr/>
        <w:t>.</w:t>
      </w:r>
    </w:p>
    <w:p>
      <w:pPr>
        <w:pStyle w:val="Normal"/>
        <w:rPr/>
      </w:pPr>
      <w:r>
        <w:rPr/>
        <w:t>Assume now, for the purposes of this Section 4, that the Segment which is the subject of a Transaction (as referred to in Section 1 of this Memorandum) is between either:</w:t>
      </w:r>
    </w:p>
    <w:p>
      <w:pPr>
        <w:pStyle w:val="Normal"/>
        <w:ind w:hanging="709" w:start="709" w:end="0"/>
        <w:rPr/>
      </w:pPr>
      <w:r>
        <w:rPr/>
        <w:t>(i)</w:t>
        <w:tab/>
        <w:t xml:space="preserve">a Pooling Point located outside of </w:t>
      </w:r>
      <w:r>
        <w:rPr>
          <w:lang w:val="en-US"/>
        </w:rPr>
        <w:t>China</w:t>
      </w:r>
      <w:r>
        <w:rPr/>
        <w:t xml:space="preserve"> (e.g., in New York City) and a Pooling Point located in </w:t>
      </w:r>
      <w:r>
        <w:rPr>
          <w:lang w:val="en-US"/>
        </w:rPr>
        <w:t>China</w:t>
      </w:r>
      <w:r>
        <w:rPr/>
        <w:t xml:space="preserve"> (e.g., in Beijing); or </w:t>
      </w:r>
    </w:p>
    <w:p>
      <w:pPr>
        <w:pStyle w:val="Normal"/>
        <w:ind w:hanging="709" w:start="709" w:end="0"/>
        <w:rPr/>
      </w:pPr>
      <w:r>
        <w:rPr/>
        <w:t>(ii)</w:t>
        <w:tab/>
        <w:t xml:space="preserve">Pooling Points, each of which is located in </w:t>
      </w:r>
      <w:r>
        <w:rPr>
          <w:lang w:val="en-US"/>
        </w:rPr>
        <w:t>China</w:t>
      </w:r>
      <w:r>
        <w:rPr/>
        <w:t xml:space="preserve"> (e.g., one is in Beijing, the other is in Shanghai); and</w:t>
      </w:r>
    </w:p>
    <w:p>
      <w:pPr>
        <w:pStyle w:val="Normal"/>
        <w:ind w:hanging="709" w:start="709" w:end="0"/>
        <w:rPr/>
      </w:pPr>
      <w:r>
        <w:rPr/>
        <w:t>(iii)</w:t>
        <w:tab/>
        <w:t>that one of two scenarios exists:</w:t>
      </w:r>
    </w:p>
    <w:p>
      <w:pPr>
        <w:pStyle w:val="Normal"/>
        <w:ind w:hanging="567" w:start="1276" w:end="0"/>
        <w:rPr/>
      </w:pPr>
      <w:r>
        <w:rPr/>
        <w:t>(a)</w:t>
        <w:tab/>
        <w:t xml:space="preserve">in the first instance, that neither of the buyer and seller in respect of such Transaction is incorporated in, or has a branch or other establishment in </w:t>
      </w:r>
      <w:r>
        <w:rPr>
          <w:lang w:val="en-US"/>
        </w:rPr>
        <w:t>China</w:t>
      </w:r>
      <w:r>
        <w:rPr/>
        <w:t xml:space="preserve">, nor is deemed to have a branch or other establishment or presence in </w:t>
      </w:r>
      <w:r>
        <w:rPr>
          <w:lang w:val="en-US"/>
        </w:rPr>
        <w:t>China</w:t>
      </w:r>
      <w:r>
        <w:rPr/>
        <w:t xml:space="preserve">; and </w:t>
      </w:r>
    </w:p>
    <w:p>
      <w:pPr>
        <w:pStyle w:val="Normal"/>
        <w:ind w:hanging="567" w:start="1276" w:end="0"/>
        <w:rPr/>
      </w:pPr>
      <w:r>
        <w:rPr/>
        <w:t>(b)</w:t>
        <w:tab/>
        <w:t xml:space="preserve">secondly, that either or both of the buyer and seller in respect of such Transaction is incorporated in, or has a branch or other establishment in </w:t>
      </w:r>
      <w:r>
        <w:rPr>
          <w:lang w:val="en-US"/>
        </w:rPr>
        <w:t>China</w:t>
      </w:r>
      <w:r>
        <w:rPr/>
        <w:t>.</w:t>
      </w:r>
    </w:p>
    <w:p>
      <w:pPr>
        <w:pStyle w:val="Normal"/>
        <w:rPr>
          <w:i/>
          <w:i/>
        </w:rPr>
      </w:pPr>
      <w:r>
        <w:rPr>
          <w:i/>
        </w:rPr>
        <w:t>Questions</w:t>
      </w:r>
    </w:p>
    <w:p>
      <w:pPr>
        <w:pStyle w:val="Normal"/>
        <w:ind w:hanging="709" w:start="709" w:end="0"/>
        <w:rPr/>
      </w:pPr>
      <w:r>
        <w:rPr/>
        <w:t>(a)</w:t>
        <w:tab/>
        <w:t>In respect of each of the various permutations set out in paragraph (I) and (II) and (III)(a) and (III)(b) of this Section 4, respectively, would your answers to any of the questions set out in Section 1 and 2 of this Memorandum change in any respect and, if so, how?  Please describe.</w:t>
      </w:r>
    </w:p>
    <w:p>
      <w:pPr>
        <w:pStyle w:val="Normal"/>
        <w:ind w:hanging="709" w:start="709" w:end="0"/>
        <w:rPr/>
      </w:pPr>
      <w:r>
        <w:rPr/>
        <w:t>(b)</w:t>
        <w:tab/>
        <w:t xml:space="preserve">Does the telecoms licensing regime in </w:t>
      </w:r>
      <w:r>
        <w:rPr>
          <w:lang w:val="en-US"/>
        </w:rPr>
        <w:t>China</w:t>
      </w:r>
      <w:r>
        <w:rPr/>
        <w:t xml:space="preserve"> distinguish, in any respect, between domestic operations and operations involving other territories and, if so, how?</w:t>
      </w:r>
    </w:p>
    <w:p>
      <w:pPr>
        <w:pStyle w:val="Normal"/>
        <w:spacing w:before="0" w:after="240"/>
        <w:jc w:val="center"/>
        <w:rPr/>
      </w:pPr>
      <w:r>
        <w:rPr/>
      </w:r>
    </w:p>
    <w:sectPr>
      <w:headerReference w:type="default" r:id="rId20"/>
      <w:headerReference w:type="first" r:id="rId21"/>
      <w:footerReference w:type="default" r:id="rId22"/>
      <w:footerReference w:type="first" r:id="rId23"/>
      <w:footnotePr>
        <w:numFmt w:val="decimal"/>
      </w:footnotePr>
      <w:type w:val="nextPage"/>
      <w:pgSz w:w="11906" w:h="16838"/>
      <w:pgMar w:left="1701" w:right="1701" w:gutter="0" w:header="720" w:top="1440" w:footer="283" w:bottom="1134"/>
      <w:pgNumType w:start="5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Wingdings">
    <w:charset w:val="02"/>
    <w:family w:val="auto"/>
    <w:pitch w:val="variable"/>
  </w:font>
  <w:font w:name="Copperplate33b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snapToGrid w:val="false"/>
            <w:spacing w:lineRule="auto" w:line="240" w:before="0" w:after="0"/>
            <w:rPr/>
          </w:pPr>
          <w:r>
            <w:rPr/>
          </w:r>
        </w:p>
      </w:tc>
      <w:tc>
        <w:tcPr>
          <w:tcW w:w="2907" w:type="dxa"/>
          <w:tcBorders/>
        </w:tcPr>
        <w:p>
          <w:pPr>
            <w:pStyle w:val="Footer"/>
            <w:snapToGrid w:val="false"/>
            <w:spacing w:before="0" w:after="240"/>
            <w:rPr/>
          </w:pPr>
          <w:r>
            <w:rPr/>
          </w:r>
        </w:p>
      </w:tc>
      <w:tc>
        <w:tcPr>
          <w:tcW w:w="2907" w:type="dxa"/>
          <w:tcBorders/>
        </w:tcPr>
        <w:p>
          <w:pPr>
            <w:pStyle w:val="Footer"/>
            <w:snapToGrid w:val="false"/>
            <w:spacing w:before="0" w:after="240"/>
            <w:jc w:val="end"/>
            <w:rPr/>
          </w:pPr>
          <w:r>
            <w:rPr/>
          </w:r>
        </w:p>
      </w:tc>
    </w:tr>
  </w:tbl>
  <w:p>
    <w:pPr>
      <w:pStyle w:val="Footer"/>
      <w:spacing w:before="0" w:after="240"/>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London-1/467540/02</w:t>
      <w:tab/>
    </w:r>
    <w:r>
      <w:rPr>
        <w:sz w:val="18"/>
      </w:rPr>
      <w:t xml:space="preserve">- </w:t>
    </w:r>
    <w:r>
      <w:rPr>
        <w:sz w:val="18"/>
      </w:rPr>
      <w:fldChar w:fldCharType="begin"/>
    </w:r>
    <w:r>
      <w:rPr>
        <w:sz w:val="18"/>
      </w:rPr>
      <w:instrText xml:space="preserve"> PAGE </w:instrText>
    </w:r>
    <w:r>
      <w:rPr>
        <w:sz w:val="18"/>
      </w:rPr>
      <w:fldChar w:fldCharType="separate"/>
    </w:r>
    <w:r>
      <w:rPr>
        <w:sz w:val="18"/>
      </w:rPr>
      <w:t>76</w:t>
    </w:r>
    <w:r>
      <w:rPr>
        <w:sz w:val="18"/>
      </w:rPr>
      <w:fldChar w:fldCharType="end"/>
    </w:r>
    <w:r>
      <w:rPr>
        <w:sz w:val="18"/>
      </w:rPr>
      <w:t xml:space="preserve"> -</w:t>
    </w:r>
    <w:r>
      <w:rPr>
        <w:sz w:val="22"/>
      </w:rPr>
      <w:tab/>
    </w:r>
    <w:r>
      <w:rPr/>
      <w:t>E3270/00388</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721" w:type="dxa"/>
      <w:jc w:val="start"/>
      <w:tblInd w:w="0" w:type="dxa"/>
      <w:tblLayout w:type="fixed"/>
      <w:tblCellMar>
        <w:top w:w="0" w:type="dxa"/>
        <w:start w:w="108" w:type="dxa"/>
        <w:bottom w:w="0" w:type="dxa"/>
        <w:end w:w="108" w:type="dxa"/>
      </w:tblCellMar>
    </w:tblPr>
    <w:tblGrid>
      <w:gridCol w:w="2907"/>
      <w:gridCol w:w="2907"/>
      <w:gridCol w:w="2907"/>
    </w:tblGrid>
    <w:tr>
      <w:trPr/>
      <w:tc>
        <w:tcPr>
          <w:tcW w:w="2907" w:type="dxa"/>
          <w:tcBorders/>
        </w:tcPr>
        <w:p>
          <w:pPr>
            <w:pStyle w:val="Footer"/>
            <w:spacing w:lineRule="auto" w:line="240" w:before="0" w:after="0"/>
            <w:rPr/>
          </w:pPr>
          <w:r>
            <w:rPr/>
            <w:t>London-1/467540</w:t>
          </w:r>
        </w:p>
      </w:tc>
      <w:tc>
        <w:tcPr>
          <w:tcW w:w="2907" w:type="dxa"/>
          <w:tcBorders/>
        </w:tcPr>
        <w:p>
          <w:pPr>
            <w:pStyle w:val="Footer"/>
            <w:snapToGrid w:val="false"/>
            <w:spacing w:before="0" w:after="240"/>
            <w:rPr/>
          </w:pPr>
          <w:r>
            <w:rPr/>
          </w:r>
        </w:p>
      </w:tc>
      <w:tc>
        <w:tcPr>
          <w:tcW w:w="2907" w:type="dxa"/>
          <w:tcBorders/>
        </w:tcPr>
        <w:p>
          <w:pPr>
            <w:pStyle w:val="Footer"/>
            <w:spacing w:before="0" w:after="240"/>
            <w:jc w:val="end"/>
            <w:rPr/>
          </w:pPr>
          <w:r>
            <w:rPr/>
            <w:t>E3270/00388</w:t>
          </w:r>
        </w:p>
      </w:tc>
    </w:tr>
  </w:tbl>
  <w:p>
    <w:pPr>
      <w:pStyle w:val="Footer"/>
      <w:spacing w:before="0" w:after="24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bookmarkStart w:id="26" w:name="DOCSOPEN"/>
    <w:bookmarkEnd w:id="26"/>
    <w:r>
      <w:rPr/>
      <w:t>London-1/467540/02</w:t>
      <w:tab/>
    </w:r>
    <w:r>
      <w:rPr>
        <w:sz w:val="18"/>
      </w:rPr>
      <w:t xml:space="preserve">- </w:t>
    </w:r>
    <w:r>
      <w:rPr>
        <w:sz w:val="18"/>
      </w:rPr>
      <w:fldChar w:fldCharType="begin"/>
    </w:r>
    <w:r>
      <w:rPr>
        <w:sz w:val="18"/>
      </w:rPr>
      <w:instrText xml:space="preserve"> PAGE </w:instrText>
    </w:r>
    <w:r>
      <w:rPr>
        <w:sz w:val="18"/>
      </w:rPr>
      <w:fldChar w:fldCharType="separate"/>
    </w:r>
    <w:r>
      <w:rPr>
        <w:sz w:val="18"/>
      </w:rPr>
      <w:t>40</w:t>
    </w:r>
    <w:r>
      <w:rPr>
        <w:sz w:val="18"/>
      </w:rPr>
      <w:fldChar w:fldCharType="end"/>
    </w:r>
    <w:r>
      <w:rPr>
        <w:sz w:val="18"/>
      </w:rPr>
      <w:t xml:space="preserve"> -</w:t>
    </w:r>
    <w:r>
      <w:rPr>
        <w:sz w:val="22"/>
      </w:rPr>
      <w:tab/>
    </w:r>
    <w:r>
      <w:rPr/>
      <w:t>E3270/00388</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London-1/467540/02</w:t>
      <w:tab/>
    </w:r>
    <w:r>
      <w:rPr>
        <w:sz w:val="18"/>
      </w:rPr>
      <w:t xml:space="preserve">- </w:t>
    </w:r>
    <w:r>
      <w:rPr>
        <w:sz w:val="18"/>
      </w:rPr>
      <w:fldChar w:fldCharType="begin"/>
    </w:r>
    <w:r>
      <w:rPr>
        <w:sz w:val="18"/>
      </w:rPr>
      <w:instrText xml:space="preserve"> PAGE </w:instrText>
    </w:r>
    <w:r>
      <w:rPr>
        <w:sz w:val="18"/>
      </w:rPr>
      <w:fldChar w:fldCharType="separate"/>
    </w:r>
    <w:r>
      <w:rPr>
        <w:sz w:val="18"/>
      </w:rPr>
      <w:t>47</w:t>
    </w:r>
    <w:r>
      <w:rPr>
        <w:sz w:val="18"/>
      </w:rPr>
      <w:fldChar w:fldCharType="end"/>
    </w:r>
    <w:r>
      <w:rPr>
        <w:sz w:val="18"/>
      </w:rPr>
      <w:t xml:space="preserve"> -</w:t>
    </w:r>
    <w:r>
      <w:rPr>
        <w:sz w:val="22"/>
      </w:rPr>
      <w:tab/>
    </w:r>
    <w:r>
      <w:rPr/>
      <w:t>E3270/00388</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t>London-1/467540/02</w:t>
      <w:tab/>
    </w:r>
    <w:r>
      <w:rPr>
        <w:sz w:val="18"/>
      </w:rPr>
      <w:t xml:space="preserve">- </w:t>
    </w:r>
    <w:r>
      <w:rPr>
        <w:sz w:val="18"/>
      </w:rPr>
      <w:fldChar w:fldCharType="begin"/>
    </w:r>
    <w:r>
      <w:rPr>
        <w:sz w:val="18"/>
      </w:rPr>
      <w:instrText xml:space="preserve"> PAGE </w:instrText>
    </w:r>
    <w:r>
      <w:rPr>
        <w:sz w:val="18"/>
      </w:rPr>
      <w:fldChar w:fldCharType="separate"/>
    </w:r>
    <w:r>
      <w:rPr>
        <w:sz w:val="18"/>
      </w:rPr>
      <w:t>55</w:t>
    </w:r>
    <w:r>
      <w:rPr>
        <w:sz w:val="18"/>
      </w:rPr>
      <w:fldChar w:fldCharType="end"/>
    </w:r>
    <w:r>
      <w:rPr>
        <w:sz w:val="18"/>
      </w:rPr>
      <w:t xml:space="preserve"> -</w:t>
    </w:r>
    <w:r>
      <w:rPr>
        <w:sz w:val="22"/>
      </w:rPr>
      <w:tab/>
    </w:r>
    <w:r>
      <w:rPr/>
      <w:t>E3270/00388</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240"/>
        <w:ind w:hanging="284" w:start="284" w:end="0"/>
        <w:rPr/>
      </w:pPr>
      <w:r>
        <w:rPr>
          <w:rStyle w:val="FootnoteCharacters"/>
        </w:rPr>
        <w:footnoteRef/>
      </w:r>
      <w:r>
        <w:rPr/>
        <w:t xml:space="preserve"> </w:t>
      </w:r>
      <w:r>
        <w:rPr/>
        <w:tab/>
        <w:t>"Briefing on the Clinton Administration Agenda for the World Trade Organisation Ministerial" issued by the White House over the internet on 15 November, and re-issued with amendments on 17 November.</w:t>
      </w:r>
    </w:p>
  </w:footnote>
  <w:footnote w:id="3">
    <w:p>
      <w:pPr>
        <w:pStyle w:val="Normal"/>
        <w:spacing w:before="0" w:after="240"/>
        <w:ind w:hanging="284" w:start="284" w:end="0"/>
        <w:rPr/>
      </w:pPr>
      <w:r>
        <w:rPr>
          <w:rStyle w:val="FootnoteCharacters"/>
        </w:rPr>
        <w:footnoteRef/>
      </w:r>
      <w:r>
        <w:rPr/>
        <w:t xml:space="preserve"> </w:t>
      </w:r>
      <w:r>
        <w:rPr/>
        <w:tab/>
      </w:r>
      <w:r>
        <w:rPr>
          <w:sz w:val="18"/>
        </w:rPr>
        <w:t>Notice concerning the Establishment of Organisations (No. 5) issued by the State Council in 1998.</w:t>
      </w:r>
    </w:p>
  </w:footnote>
  <w:footnote w:id="4">
    <w:p>
      <w:pPr>
        <w:pStyle w:val="FootnoteText"/>
        <w:spacing w:before="0" w:after="240"/>
        <w:ind w:hanging="284" w:start="284" w:end="0"/>
        <w:rPr/>
      </w:pPr>
      <w:r>
        <w:rPr>
          <w:rStyle w:val="FootnoteCharacters"/>
        </w:rPr>
        <w:footnoteRef/>
      </w:r>
      <w:r>
        <w:rPr/>
        <w:t xml:space="preserve"> </w:t>
      </w:r>
      <w:r>
        <w:rPr/>
        <w:tab/>
        <w:t>Manual on the "Organisations of the PRC Central Government" co-edited by the Secretariat of the General Office of the State Council (published in November 1998);  Notice concerning the MPT Query on the Strengthening of the Administration and Due Rectification of the Telecommunications Industry issued by the State Council (No. 54) on 3 September 1996 (Articles 3 and 4).</w:t>
      </w:r>
    </w:p>
  </w:footnote>
  <w:footnote w:id="5">
    <w:p>
      <w:pPr>
        <w:pStyle w:val="FootnoteText"/>
        <w:spacing w:before="0" w:after="240"/>
        <w:ind w:hanging="284" w:start="284" w:end="0"/>
        <w:rPr/>
      </w:pPr>
      <w:r>
        <w:rPr>
          <w:rStyle w:val="FootnoteCharacters"/>
        </w:rPr>
        <w:footnoteRef/>
      </w:r>
      <w:r>
        <w:rPr/>
        <w:t xml:space="preserve"> </w:t>
      </w:r>
      <w:r>
        <w:rPr/>
        <w:tab/>
        <w:t>For example, State Council Notice No. 54 (see 2 above); Interim Administrative Procedures for the Approval of the Carrying out of The Deregulated Telecommunications Business issued by the MPT with effect from 1 October 1993 (Article 6).</w:t>
      </w:r>
    </w:p>
  </w:footnote>
  <w:footnote w:id="6">
    <w:p>
      <w:pPr>
        <w:pStyle w:val="FootnoteText"/>
        <w:spacing w:before="0" w:after="240"/>
        <w:ind w:hanging="284" w:start="284" w:end="0"/>
        <w:rPr/>
      </w:pPr>
      <w:r>
        <w:rPr>
          <w:rStyle w:val="FootnoteCharacters"/>
        </w:rPr>
        <w:footnoteRef/>
      </w:r>
      <w:r>
        <w:rPr/>
        <w:t xml:space="preserve"> </w:t>
      </w:r>
      <w:r>
        <w:rPr/>
        <w:tab/>
        <w:t>1995 Public Announcement Regarding the Prohibition on the Resale of International Telecommunications Business in China.</w:t>
      </w:r>
    </w:p>
  </w:footnote>
  <w:footnote w:id="7">
    <w:p>
      <w:pPr>
        <w:pStyle w:val="FootnoteText"/>
        <w:spacing w:before="0" w:after="240"/>
        <w:ind w:hanging="284" w:start="284" w:end="0"/>
        <w:rPr/>
      </w:pPr>
      <w:r>
        <w:rPr>
          <w:rStyle w:val="FootnoteCharacters"/>
        </w:rPr>
        <w:footnoteRef/>
      </w:r>
      <w:r>
        <w:rPr/>
        <w:t xml:space="preserve"> </w:t>
      </w:r>
      <w:r>
        <w:rPr/>
        <w:tab/>
        <w:t>Interim Administrative Procedures on the Approval of Carrying out the Deregulated Telecommunications Business issued by the MPT with effect from 1 October 1993.</w:t>
      </w:r>
    </w:p>
  </w:footnote>
  <w:footnote w:id="8">
    <w:p>
      <w:pPr>
        <w:pStyle w:val="FootnoteText"/>
        <w:spacing w:before="0" w:after="240"/>
        <w:ind w:hanging="284" w:start="284" w:end="0"/>
        <w:rPr/>
      </w:pPr>
      <w:r>
        <w:rPr>
          <w:rStyle w:val="FootnoteCharacters"/>
        </w:rPr>
        <w:footnoteRef/>
      </w:r>
      <w:r>
        <w:rPr/>
        <w:t xml:space="preserve"> </w:t>
      </w:r>
      <w:r>
        <w:rPr/>
        <w:tab/>
        <w:t>Notice concerning Relevant Questions relating to the Examinations and Approval of Deregulated Telecommunications Business issued by the MPT on 5 January 1994.</w:t>
      </w:r>
    </w:p>
  </w:footnote>
  <w:footnote w:id="9">
    <w:p>
      <w:pPr>
        <w:pStyle w:val="FootnoteText"/>
        <w:spacing w:before="0" w:after="240"/>
        <w:ind w:hanging="284" w:start="284" w:end="0"/>
        <w:rPr/>
      </w:pPr>
      <w:r>
        <w:rPr>
          <w:rStyle w:val="FootnoteCharacters"/>
        </w:rPr>
        <w:footnoteRef/>
      </w:r>
      <w:r>
        <w:rPr/>
        <w:t xml:space="preserve"> </w:t>
      </w:r>
      <w:r>
        <w:rPr/>
        <w:tab/>
        <w:t>Tentative Procedures for the Administration of Implementation of Quality Certification for the Connection of Imported Operators Communication Equipment published by the MPT on 5 March 1997.</w:t>
      </w:r>
    </w:p>
  </w:footnote>
  <w:footnote w:id="10">
    <w:p>
      <w:pPr>
        <w:pStyle w:val="FootnoteText"/>
        <w:tabs>
          <w:tab w:val="clear" w:pos="284"/>
        </w:tabs>
        <w:spacing w:before="0" w:after="240"/>
        <w:ind w:hanging="142" w:start="142" w:end="0"/>
        <w:rPr/>
      </w:pPr>
      <w:r>
        <w:rPr>
          <w:rStyle w:val="FootnoteCharacters"/>
        </w:rPr>
        <w:footnoteRef/>
      </w:r>
      <w:r>
        <w:rPr/>
        <w:t xml:space="preserve"> </w:t>
      </w:r>
      <w:r>
        <w:rPr/>
        <w:t>Article 3 of the Response of the Supreme People's Court to Certain Questions concerning the Application of the Foreign Economic Contract Law (FECL) issued on 19 October 1987.  Please note that, although the FECL has since been repealed (under the PRC Contract Law), the status of supplementary explanations and notices to the FECL such as the 1987 Notice remains unclear.  Given the absence of any express provision to the contrary in the PRC Contract Law, we therefore believe that a contract signed outside an entity's authorised scope of business will still be invalid.</w:t>
      </w:r>
    </w:p>
  </w:footnote>
  <w:footnote w:id="11">
    <w:p>
      <w:pPr>
        <w:pStyle w:val="FootnoteText"/>
        <w:spacing w:before="0" w:after="240"/>
        <w:ind w:hanging="284" w:start="284" w:end="0"/>
        <w:rPr/>
      </w:pPr>
      <w:r>
        <w:rPr>
          <w:rStyle w:val="FootnoteCharacters"/>
        </w:rPr>
        <w:footnoteRef/>
      </w:r>
      <w:r>
        <w:rPr/>
        <w:t xml:space="preserve"> </w:t>
      </w:r>
      <w:r>
        <w:rPr/>
        <w:tab/>
        <w:t>1993 Opinion of the Ministry of Posts and Telecommunications on Further Strengthening Control of the Telecommunications Services Market.</w:t>
      </w:r>
    </w:p>
  </w:footnote>
  <w:footnote w:id="12">
    <w:p>
      <w:pPr>
        <w:pStyle w:val="FootnoteText"/>
        <w:spacing w:before="0" w:after="240"/>
        <w:ind w:hanging="284" w:start="284" w:end="0"/>
        <w:rPr/>
      </w:pPr>
      <w:r>
        <w:rPr>
          <w:rStyle w:val="FootnoteCharacters"/>
        </w:rPr>
        <w:footnoteRef/>
      </w:r>
      <w:r>
        <w:rPr/>
        <w:t xml:space="preserve"> </w:t>
      </w:r>
      <w:r>
        <w:rPr/>
        <w:tab/>
        <w:t>1993 Interim Measures for Administration of the Examination and Approval of Engagement in Previously Restricted Telecommunications Business.</w:t>
      </w:r>
    </w:p>
  </w:footnote>
  <w:footnote w:id="13">
    <w:p>
      <w:pPr>
        <w:pStyle w:val="FootnoteText"/>
        <w:spacing w:before="0" w:after="240"/>
        <w:ind w:hanging="284" w:start="284" w:end="0"/>
        <w:rPr/>
      </w:pPr>
      <w:r>
        <w:rPr>
          <w:rStyle w:val="FootnoteCharacters"/>
        </w:rPr>
        <w:footnoteRef/>
      </w:r>
      <w:r>
        <w:rPr/>
        <w:t xml:space="preserve"> </w:t>
      </w:r>
      <w:r>
        <w:rPr/>
        <w:tab/>
        <w:t>PRC, Contract Law (effective from 1 October 1999)</w:t>
      </w:r>
    </w:p>
  </w:footnote>
  <w:footnote w:id="14">
    <w:p>
      <w:pPr>
        <w:pStyle w:val="FootnoteText"/>
        <w:spacing w:before="0" w:after="240"/>
        <w:ind w:hanging="284" w:start="284" w:end="0"/>
        <w:rPr/>
      </w:pPr>
      <w:r>
        <w:rPr>
          <w:rStyle w:val="FootnoteCharacters"/>
        </w:rPr>
        <w:footnoteRef/>
      </w:r>
      <w:r>
        <w:rPr/>
        <w:t xml:space="preserve"> </w:t>
      </w:r>
      <w:r>
        <w:rPr/>
        <w:tab/>
        <w:t>Article 5, PRC Contract Law</w:t>
      </w:r>
    </w:p>
  </w:footnote>
  <w:footnote w:id="15">
    <w:p>
      <w:pPr>
        <w:pStyle w:val="FootnoteText"/>
        <w:spacing w:before="0" w:after="240"/>
        <w:ind w:hanging="284" w:start="284" w:end="0"/>
        <w:rPr/>
      </w:pPr>
      <w:r>
        <w:rPr>
          <w:rStyle w:val="FootnoteCharacters"/>
        </w:rPr>
        <w:footnoteRef/>
      </w:r>
      <w:r>
        <w:rPr/>
        <w:t xml:space="preserve"> </w:t>
      </w:r>
      <w:r>
        <w:rPr/>
        <w:tab/>
        <w:t>Article 10 of the PRC Contract Law</w:t>
      </w:r>
    </w:p>
  </w:footnote>
  <w:footnote w:id="16">
    <w:p>
      <w:pPr>
        <w:pStyle w:val="FootnoteText"/>
        <w:spacing w:before="0" w:after="240"/>
        <w:ind w:hanging="284" w:start="284" w:end="0"/>
        <w:rPr/>
      </w:pPr>
      <w:r>
        <w:rPr>
          <w:rStyle w:val="FootnoteCharacters"/>
        </w:rPr>
        <w:footnoteRef/>
      </w:r>
      <w:r>
        <w:rPr/>
        <w:t xml:space="preserve"> </w:t>
      </w:r>
      <w:r>
        <w:rPr/>
        <w:tab/>
        <w:t>Article 11 of the PRC Contract Law</w:t>
      </w:r>
    </w:p>
  </w:footnote>
  <w:footnote w:id="17">
    <w:p>
      <w:pPr>
        <w:pStyle w:val="FootnoteText"/>
        <w:spacing w:before="0" w:after="240"/>
        <w:ind w:hanging="284" w:start="284" w:end="0"/>
        <w:rPr/>
      </w:pPr>
      <w:r>
        <w:rPr>
          <w:rStyle w:val="FootnoteCharacters"/>
        </w:rPr>
        <w:footnoteRef/>
      </w:r>
      <w:r>
        <w:rPr/>
        <w:t xml:space="preserve"> </w:t>
      </w:r>
      <w:r>
        <w:rPr/>
        <w:tab/>
        <w:t>Articles 38 and 40, Chinese Constitution</w:t>
      </w:r>
    </w:p>
  </w:footnote>
  <w:footnote w:id="18">
    <w:p>
      <w:pPr>
        <w:pStyle w:val="FootnoteText"/>
        <w:spacing w:before="0" w:after="240"/>
        <w:ind w:hanging="284" w:start="284" w:end="0"/>
        <w:rPr/>
      </w:pPr>
      <w:r>
        <w:rPr>
          <w:rStyle w:val="FootnoteCharacters"/>
        </w:rPr>
        <w:footnoteRef/>
      </w:r>
      <w:r>
        <w:rPr/>
        <w:t xml:space="preserve"> </w:t>
      </w:r>
      <w:r>
        <w:rPr/>
        <w:tab/>
        <w:t>Unfair Competition Law (effective from 1 December 1993)</w:t>
      </w:r>
    </w:p>
  </w:footnote>
  <w:footnote w:id="19">
    <w:p>
      <w:pPr>
        <w:pStyle w:val="FootnoteText"/>
        <w:spacing w:before="0" w:after="240"/>
        <w:ind w:hanging="284" w:start="284" w:end="0"/>
        <w:rPr/>
      </w:pPr>
      <w:r>
        <w:rPr>
          <w:rStyle w:val="FootnoteCharacters"/>
        </w:rPr>
        <w:footnoteRef/>
      </w:r>
      <w:r>
        <w:rPr/>
        <w:t xml:space="preserve"> </w:t>
      </w:r>
      <w:r>
        <w:rPr/>
        <w:tab/>
        <w:t>Article 43, PRC Contract Law</w:t>
      </w:r>
    </w:p>
  </w:footnote>
  <w:footnote w:id="20">
    <w:p>
      <w:pPr>
        <w:pStyle w:val="FootnoteText"/>
        <w:spacing w:before="0" w:after="240"/>
        <w:ind w:hanging="284" w:start="284" w:end="0"/>
        <w:rPr/>
      </w:pPr>
      <w:r>
        <w:rPr>
          <w:rStyle w:val="FootnoteCharacters"/>
        </w:rPr>
        <w:footnoteRef/>
      </w:r>
      <w:r>
        <w:rPr/>
        <w:t xml:space="preserve"> </w:t>
      </w:r>
      <w:r>
        <w:rPr/>
        <w:tab/>
        <w:t>Interpretation regarding the Recording of a Party's Conversation without that Party's Consent Cannot be Used as Evidence (issued by the Supreme People's Court on 6 March 1995)</w:t>
      </w:r>
    </w:p>
  </w:footnote>
  <w:footnote w:id="21">
    <w:p>
      <w:pPr>
        <w:pStyle w:val="FootnoteText"/>
        <w:spacing w:before="0" w:after="240"/>
        <w:ind w:hanging="284" w:start="284" w:end="0"/>
        <w:rPr/>
      </w:pPr>
      <w:r>
        <w:rPr>
          <w:rStyle w:val="FootnoteCharacters"/>
        </w:rPr>
        <w:footnoteRef/>
      </w:r>
      <w:r>
        <w:rPr/>
        <w:t xml:space="preserve"> </w:t>
      </w:r>
      <w:r>
        <w:rPr/>
        <w:tab/>
        <w:t>Opinion of the Supreme People's Court on Several Questions concerning the Enforcement of the PRC's Civil Law (Trial Implementation) (issued by the Supreme People's Court on 26 January 1998)</w:t>
      </w:r>
    </w:p>
  </w:footnote>
  <w:footnote w:id="22">
    <w:p>
      <w:pPr>
        <w:pStyle w:val="FootnoteText"/>
        <w:spacing w:before="0" w:after="240"/>
        <w:ind w:hanging="284" w:start="284" w:end="0"/>
        <w:rPr/>
      </w:pPr>
      <w:r>
        <w:rPr>
          <w:rStyle w:val="FootnoteCharacters"/>
        </w:rPr>
        <w:footnoteRef/>
      </w:r>
      <w:r>
        <w:rPr/>
        <w:t xml:space="preserve"> </w:t>
      </w:r>
      <w:r>
        <w:rPr/>
        <w:tab/>
        <w:t>Regulations governing the Protection of the Safety of Computer Information Systems promulgated by the State Council on 18 February 1994</w:t>
      </w:r>
    </w:p>
  </w:footnote>
  <w:footnote w:id="23">
    <w:p>
      <w:pPr>
        <w:pStyle w:val="FootnoteText"/>
        <w:spacing w:before="0" w:after="240"/>
        <w:ind w:hanging="284" w:start="284" w:end="0"/>
        <w:rPr/>
      </w:pPr>
      <w:r>
        <w:rPr>
          <w:rStyle w:val="FootnoteCharacters"/>
        </w:rPr>
        <w:footnoteRef/>
      </w:r>
      <w:r>
        <w:rPr/>
        <w:t xml:space="preserve"> </w:t>
      </w:r>
      <w:r>
        <w:rPr/>
        <w:tab/>
        <w:t>Article 132 of the PRC, Contract Law</w:t>
      </w:r>
    </w:p>
  </w:footnote>
  <w:footnote w:id="24">
    <w:p>
      <w:pPr>
        <w:pStyle w:val="FootnoteText"/>
        <w:spacing w:before="0" w:after="240"/>
        <w:ind w:hanging="284" w:start="284" w:end="0"/>
        <w:rPr/>
      </w:pPr>
      <w:r>
        <w:rPr>
          <w:rStyle w:val="FootnoteCharacters"/>
        </w:rPr>
        <w:footnoteRef/>
      </w:r>
      <w:r>
        <w:rPr/>
        <w:t xml:space="preserve"> </w:t>
      </w:r>
      <w:r>
        <w:rPr/>
        <w:tab/>
        <w:t>Articles 62 and 154 of the PRC, Contract Law</w:t>
      </w:r>
    </w:p>
  </w:footnote>
  <w:footnote w:id="25">
    <w:p>
      <w:pPr>
        <w:pStyle w:val="FootnoteText"/>
        <w:spacing w:before="0" w:after="240"/>
        <w:ind w:hanging="284" w:start="284" w:end="0"/>
        <w:rPr/>
      </w:pPr>
      <w:r>
        <w:rPr>
          <w:rStyle w:val="FootnoteCharacters"/>
        </w:rPr>
        <w:footnoteRef/>
      </w:r>
      <w:r>
        <w:rPr/>
        <w:t xml:space="preserve"> </w:t>
      </w:r>
      <w:r>
        <w:rPr/>
        <w:tab/>
        <w:t xml:space="preserve">Article 53 of the PRC, Contract Law </w:t>
      </w:r>
    </w:p>
  </w:footnote>
  <w:footnote w:id="26">
    <w:p>
      <w:pPr>
        <w:pStyle w:val="FootnoteText"/>
        <w:spacing w:before="0" w:after="240"/>
        <w:ind w:hanging="284" w:start="284" w:end="0"/>
        <w:rPr/>
      </w:pPr>
      <w:r>
        <w:rPr>
          <w:rStyle w:val="FootnoteCharacters"/>
        </w:rPr>
        <w:footnoteRef/>
      </w:r>
      <w:r>
        <w:rPr/>
        <w:t xml:space="preserve"> </w:t>
      </w:r>
      <w:r>
        <w:rPr/>
        <w:tab/>
        <w:t>Articles 14, 15, 22 and 26 of the PRC, Contract Law</w:t>
      </w:r>
    </w:p>
  </w:footnote>
  <w:footnote w:id="27">
    <w:p>
      <w:pPr>
        <w:pStyle w:val="FootnoteText"/>
        <w:spacing w:before="0" w:after="240"/>
        <w:ind w:hanging="284" w:start="284" w:end="0"/>
        <w:rPr/>
      </w:pPr>
      <w:r>
        <w:rPr>
          <w:rStyle w:val="FootnoteCharacters"/>
        </w:rPr>
        <w:footnoteRef/>
      </w:r>
      <w:r>
        <w:rPr/>
        <w:t xml:space="preserve"> </w:t>
      </w:r>
      <w:r>
        <w:rPr/>
        <w:tab/>
        <w:t>Article 36 of the PRC, Contract Law</w:t>
      </w:r>
    </w:p>
  </w:footnote>
  <w:footnote w:id="28">
    <w:p>
      <w:pPr>
        <w:pStyle w:val="FootnoteText"/>
        <w:spacing w:before="0" w:after="240"/>
        <w:ind w:hanging="284" w:start="284" w:end="0"/>
        <w:rPr/>
      </w:pPr>
      <w:r>
        <w:rPr>
          <w:rStyle w:val="FootnoteCharacters"/>
        </w:rPr>
        <w:footnoteRef/>
      </w:r>
      <w:r>
        <w:rPr/>
        <w:t xml:space="preserve"> </w:t>
      </w:r>
      <w:r>
        <w:rPr/>
        <w:tab/>
        <w:t>Article 11 of the PRC, Contract Law</w:t>
      </w:r>
    </w:p>
  </w:footnote>
  <w:footnote w:id="29">
    <w:p>
      <w:pPr>
        <w:pStyle w:val="FootnoteText"/>
        <w:spacing w:before="0" w:after="240"/>
        <w:ind w:hanging="284" w:start="284" w:end="0"/>
        <w:rPr/>
      </w:pPr>
      <w:r>
        <w:rPr>
          <w:rStyle w:val="FootnoteCharacters"/>
        </w:rPr>
        <w:footnoteRef/>
      </w:r>
      <w:r>
        <w:rPr/>
        <w:t xml:space="preserve"> </w:t>
      </w:r>
      <w:r>
        <w:rPr/>
        <w:tab/>
        <w:t>Article 23 of the PRC, Contract Law</w:t>
      </w:r>
    </w:p>
  </w:footnote>
  <w:footnote w:id="30">
    <w:p>
      <w:pPr>
        <w:pStyle w:val="FootnoteText"/>
        <w:spacing w:before="0" w:after="240"/>
        <w:ind w:hanging="284" w:start="284" w:end="0"/>
        <w:rPr/>
      </w:pPr>
      <w:r>
        <w:rPr>
          <w:rStyle w:val="FootnoteCharacters"/>
        </w:rPr>
        <w:footnoteRef/>
      </w:r>
      <w:r>
        <w:rPr/>
        <w:t xml:space="preserve"> </w:t>
      </w:r>
      <w:r>
        <w:rPr/>
        <w:tab/>
        <w:t>Article 31 of the PRC, Contract Law</w:t>
      </w:r>
    </w:p>
  </w:footnote>
  <w:footnote w:id="31">
    <w:p>
      <w:pPr>
        <w:pStyle w:val="FootnoteText"/>
        <w:spacing w:before="0" w:after="240"/>
        <w:ind w:hanging="284" w:start="284" w:end="0"/>
        <w:rPr/>
      </w:pPr>
      <w:r>
        <w:rPr>
          <w:rStyle w:val="FootnoteCharacters"/>
        </w:rPr>
        <w:footnoteRef/>
      </w:r>
      <w:r>
        <w:rPr/>
        <w:t xml:space="preserve"> </w:t>
      </w:r>
      <w:r>
        <w:rPr/>
        <w:tab/>
        <w:t>Articles 39, 40 and 41 of the PRC, Contract Law</w:t>
      </w:r>
    </w:p>
  </w:footnote>
  <w:footnote w:id="32">
    <w:p>
      <w:pPr>
        <w:pStyle w:val="FootnoteText"/>
        <w:spacing w:before="0" w:after="240"/>
        <w:ind w:hanging="284" w:start="284" w:end="0"/>
        <w:rPr/>
      </w:pPr>
      <w:r>
        <w:rPr>
          <w:rStyle w:val="FootnoteCharacters"/>
        </w:rPr>
        <w:footnoteRef/>
      </w:r>
      <w:r>
        <w:rPr/>
        <w:t xml:space="preserve"> </w:t>
      </w:r>
      <w:r>
        <w:rPr/>
        <w:tab/>
        <w:t>PRC, Arbitration Law effective from 1 September 1995</w:t>
      </w:r>
    </w:p>
  </w:footnote>
  <w:footnote w:id="33">
    <w:p>
      <w:pPr>
        <w:pStyle w:val="FootnoteText"/>
        <w:spacing w:before="0" w:after="240"/>
        <w:ind w:hanging="284" w:start="284" w:end="0"/>
        <w:rPr/>
      </w:pPr>
      <w:r>
        <w:rPr>
          <w:rStyle w:val="FootnoteCharacters"/>
        </w:rPr>
        <w:footnoteRef/>
      </w:r>
      <w:r>
        <w:rPr/>
        <w:t xml:space="preserve"> </w:t>
      </w:r>
      <w:r>
        <w:rPr/>
        <w:tab/>
        <w:t>Circular on Implementing the Participation of China in The Convention on the Recognition and Enforcement of Foreign Arbitral Awards issued in 1987</w:t>
      </w:r>
    </w:p>
  </w:footnote>
  <w:footnote w:id="34">
    <w:p>
      <w:pPr>
        <w:pStyle w:val="FootnoteText"/>
        <w:spacing w:before="0" w:after="240"/>
        <w:ind w:hanging="284" w:start="284" w:end="0"/>
        <w:rPr/>
      </w:pPr>
      <w:r>
        <w:rPr>
          <w:rStyle w:val="FootnoteCharacters"/>
        </w:rPr>
        <w:footnoteRef/>
      </w:r>
      <w:r>
        <w:rPr/>
        <w:t xml:space="preserve"> </w:t>
      </w:r>
      <w:r>
        <w:rPr/>
        <w:tab/>
        <w:t>Article 268 of the PRC, Civil Procedure Law</w:t>
      </w:r>
    </w:p>
  </w:footnote>
  <w:footnote w:id="35">
    <w:p>
      <w:pPr>
        <w:pStyle w:val="FootnoteText"/>
        <w:spacing w:before="0" w:after="240"/>
        <w:ind w:hanging="284" w:start="284" w:end="0"/>
        <w:rPr/>
      </w:pPr>
      <w:r>
        <w:rPr>
          <w:rStyle w:val="FootnoteCharacters"/>
        </w:rPr>
        <w:footnoteRef/>
      </w:r>
      <w:r>
        <w:rPr/>
        <w:t xml:space="preserve"> </w:t>
      </w:r>
      <w:r>
        <w:rPr/>
        <w:tab/>
        <w:t>Notice on Handling Awards Involving Foreign Interest and Foreign Arbitral Awards issued by the Supreme People's Court in August 1995.</w:t>
      </w:r>
    </w:p>
  </w:footnote>
  <w:footnote w:id="36">
    <w:p>
      <w:pPr>
        <w:pStyle w:val="FootnoteText"/>
        <w:spacing w:before="0" w:after="240"/>
        <w:ind w:hanging="284" w:start="284" w:end="0"/>
        <w:rPr/>
      </w:pPr>
      <w:r>
        <w:rPr>
          <w:rStyle w:val="FootnoteCharacters"/>
        </w:rPr>
        <w:footnoteRef/>
      </w:r>
      <w:r>
        <w:rPr/>
        <w:t xml:space="preserve"> </w:t>
      </w:r>
      <w:r>
        <w:rPr/>
        <w:tab/>
        <w:t>Regulations regarding Issues on Fees and Verification Limits in relation to Admitting and Enforcing Overseas Arbitration Awards (issued by the Supreme People's Court on 21 October 1998)</w:t>
      </w:r>
    </w:p>
  </w:footnote>
  <w:footnote w:id="37">
    <w:p>
      <w:pPr>
        <w:pStyle w:val="FootnoteText"/>
        <w:spacing w:before="0" w:after="240"/>
        <w:ind w:hanging="284" w:start="284" w:end="0"/>
        <w:rPr/>
      </w:pPr>
      <w:r>
        <w:rPr>
          <w:rStyle w:val="FootnoteCharacters"/>
        </w:rPr>
        <w:footnoteRef/>
      </w:r>
      <w:r>
        <w:rPr/>
        <w:t xml:space="preserve"> </w:t>
      </w:r>
      <w:r>
        <w:rPr/>
        <w:tab/>
        <w:t>Article 114 of the PRC, Contract Law</w:t>
      </w:r>
    </w:p>
  </w:footnote>
  <w:footnote w:id="38">
    <w:p>
      <w:pPr>
        <w:pStyle w:val="FootnoteText"/>
        <w:spacing w:before="0" w:after="240"/>
        <w:ind w:hanging="284" w:start="284" w:end="0"/>
        <w:rPr/>
      </w:pPr>
      <w:r>
        <w:rPr>
          <w:rStyle w:val="FootnoteCharacters"/>
        </w:rPr>
        <w:footnoteRef/>
      </w:r>
      <w:r>
        <w:rPr/>
        <w:t xml:space="preserve"> </w:t>
      </w:r>
      <w:r>
        <w:rPr/>
        <w:tab/>
        <w:t>Head 4 of Article 16 of the Business Tax Provisional Regulation</w:t>
      </w:r>
    </w:p>
  </w:footnote>
  <w:footnote w:id="39">
    <w:p>
      <w:pPr>
        <w:pStyle w:val="FootnoteText"/>
        <w:spacing w:before="0" w:after="240"/>
        <w:ind w:hanging="284" w:start="284" w:end="0"/>
        <w:rPr/>
      </w:pPr>
      <w:r>
        <w:rPr>
          <w:rStyle w:val="FootnoteCharacters"/>
        </w:rPr>
        <w:footnoteRef/>
      </w:r>
      <w:r>
        <w:rPr/>
        <w:t xml:space="preserve"> </w:t>
      </w:r>
      <w:r>
        <w:rPr/>
        <w:tab/>
        <w:t>Article 4(2)(3) of Tax Circular GSF [1993] No.194</w:t>
      </w:r>
    </w:p>
  </w:footnote>
  <w:footnote w:id="40">
    <w:p>
      <w:pPr>
        <w:pStyle w:val="FootnoteText"/>
        <w:spacing w:before="0" w:after="240"/>
        <w:ind w:hanging="284" w:start="284" w:end="0"/>
        <w:rPr/>
      </w:pPr>
      <w:r>
        <w:rPr>
          <w:rStyle w:val="FootnoteCharacters"/>
        </w:rPr>
        <w:footnoteRef/>
      </w:r>
      <w:r>
        <w:rPr/>
        <w:t xml:space="preserve"> </w:t>
      </w:r>
      <w:r>
        <w:rPr/>
        <w:tab/>
        <w:t>Consumer Protection Law issued by the Standing Committee of the National People's Congress with effect from 1 January 1994</w:t>
      </w:r>
    </w:p>
  </w:footnote>
  <w:footnote w:id="41">
    <w:p>
      <w:pPr>
        <w:pStyle w:val="FootnoteText"/>
        <w:spacing w:before="0" w:after="240"/>
        <w:ind w:hanging="284" w:start="284" w:end="0"/>
        <w:rPr/>
      </w:pPr>
      <w:r>
        <w:rPr>
          <w:rStyle w:val="FootnoteCharacters"/>
        </w:rPr>
        <w:footnoteRef/>
      </w:r>
      <w:r>
        <w:rPr/>
        <w:t xml:space="preserve"> </w:t>
      </w:r>
      <w:r>
        <w:rPr/>
        <w:tab/>
        <w:t>Product Quality Law issued by the Standing Committee of the National People's Congress with effect from 1 September 1993</w:t>
      </w:r>
    </w:p>
  </w:footnote>
  <w:footnote w:id="42">
    <w:p>
      <w:pPr>
        <w:pStyle w:val="FootnoteText"/>
        <w:spacing w:before="0" w:after="240"/>
        <w:ind w:hanging="284" w:start="284" w:end="0"/>
        <w:rPr/>
      </w:pPr>
      <w:r>
        <w:rPr>
          <w:rStyle w:val="FootnoteCharacters"/>
        </w:rPr>
        <w:footnoteRef/>
      </w:r>
      <w:r>
        <w:rPr/>
        <w:t xml:space="preserve"> </w:t>
      </w:r>
      <w:r>
        <w:rPr/>
        <w:tab/>
        <w:t xml:space="preserve">Anti-Unfair Competition Law </w:t>
      </w:r>
      <w:r>
        <w:rPr>
          <w:kern w:val="2"/>
        </w:rPr>
        <w:t>issued with effect from 1 December 1993</w:t>
      </w:r>
    </w:p>
  </w:footnote>
  <w:footnote w:id="43">
    <w:p>
      <w:pPr>
        <w:pStyle w:val="FootnoteText"/>
        <w:spacing w:before="0" w:after="240"/>
        <w:ind w:hanging="284" w:start="284" w:end="0"/>
        <w:rPr/>
      </w:pPr>
      <w:r>
        <w:rPr>
          <w:rStyle w:val="FootnoteCharacters"/>
        </w:rPr>
        <w:footnoteRef/>
      </w:r>
      <w:r>
        <w:rPr/>
        <w:t xml:space="preserve"> </w:t>
      </w:r>
      <w:r>
        <w:rPr/>
        <w:tab/>
        <w:t>Article 14 of the Futures Regulations</w:t>
      </w:r>
    </w:p>
  </w:footnote>
  <w:footnote w:id="44">
    <w:p>
      <w:pPr>
        <w:pStyle w:val="FootnoteText"/>
        <w:spacing w:before="0" w:after="240"/>
        <w:ind w:hanging="284" w:start="284" w:end="0"/>
        <w:rPr/>
      </w:pPr>
      <w:r>
        <w:rPr>
          <w:rStyle w:val="FootnoteCharacters"/>
        </w:rPr>
        <w:footnoteRef/>
      </w:r>
      <w:r>
        <w:rPr/>
        <w:t xml:space="preserve"> </w:t>
      </w:r>
      <w:r>
        <w:rPr/>
        <w:tab/>
        <w:t>Article 30 of the Futures Regulations</w:t>
      </w:r>
    </w:p>
  </w:footnote>
  <w:footnote w:id="45">
    <w:p>
      <w:pPr>
        <w:pStyle w:val="FootnoteText"/>
        <w:spacing w:before="0" w:after="240"/>
        <w:ind w:hanging="284" w:start="284" w:end="0"/>
        <w:rPr/>
      </w:pPr>
      <w:r>
        <w:rPr>
          <w:rStyle w:val="FootnoteCharacters"/>
        </w:rPr>
        <w:footnoteRef/>
      </w:r>
      <w:r>
        <w:rPr/>
        <w:t xml:space="preserve"> </w:t>
      </w:r>
      <w:r>
        <w:rPr/>
        <w:tab/>
        <w:t>Article 48 of the Futures Regulations</w:t>
      </w:r>
    </w:p>
  </w:footnote>
  <w:footnote w:id="46">
    <w:p>
      <w:pPr>
        <w:pStyle w:val="FootnoteText"/>
        <w:spacing w:before="0" w:after="240"/>
        <w:ind w:hanging="284" w:start="284" w:end="0"/>
        <w:rPr/>
      </w:pPr>
      <w:r>
        <w:rPr>
          <w:rStyle w:val="FootnoteCharacters"/>
        </w:rPr>
        <w:footnoteRef/>
      </w:r>
      <w:r>
        <w:rPr/>
        <w:t xml:space="preserve"> </w:t>
      </w:r>
      <w:r>
        <w:rPr/>
        <w:tab/>
      </w:r>
      <w:r>
        <w:rPr>
          <w:rFonts w:eastAsia="'宋体"/>
          <w:lang w:eastAsia="zh-CN"/>
        </w:rPr>
        <w:t>Article 49 of the Futures Regulations</w:t>
      </w:r>
    </w:p>
  </w:footnote>
  <w:footnote w:id="47">
    <w:p>
      <w:pPr>
        <w:pStyle w:val="FootnoteText"/>
        <w:spacing w:before="0" w:after="240"/>
        <w:ind w:hanging="284" w:start="284" w:end="0"/>
        <w:rPr/>
      </w:pPr>
      <w:r>
        <w:rPr>
          <w:rStyle w:val="FootnoteCharacters"/>
        </w:rPr>
        <w:footnoteRef/>
      </w:r>
      <w:r>
        <w:rPr/>
        <w:t xml:space="preserve"> </w:t>
      </w:r>
      <w:r>
        <w:rPr/>
        <w:tab/>
      </w:r>
      <w:r>
        <w:rPr>
          <w:rFonts w:eastAsia="'宋体"/>
          <w:lang w:eastAsia="zh-CN"/>
        </w:rPr>
        <w:t>Articles 30 and 48 of the Futures Regulations</w:t>
      </w:r>
    </w:p>
  </w:footnote>
  <w:footnote w:id="48">
    <w:p>
      <w:pPr>
        <w:pStyle w:val="FootnoteText"/>
        <w:spacing w:before="0" w:after="240"/>
        <w:ind w:hanging="284" w:start="284" w:end="0"/>
        <w:rPr/>
      </w:pPr>
      <w:r>
        <w:rPr>
          <w:rStyle w:val="FootnoteCharacters"/>
        </w:rPr>
        <w:footnoteRef/>
      </w:r>
      <w:r>
        <w:rPr/>
        <w:t xml:space="preserve"> </w:t>
      </w:r>
      <w:r>
        <w:rPr/>
        <w:tab/>
        <w:t>Procedures Regarding the Administration of the Examination and Approval in relation to Network Access by Telecommunications Equipment (issued by the MII with effect from 1 January 1999)</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40"/>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i w:val="false"/>
        <w:b w:val="false"/>
      </w:rPr>
    </w:lvl>
    <w:lvl w:ilvl="1">
      <w:start w:val="1"/>
      <w:pStyle w:val="Heading2"/>
      <w:numFmt w:val="decimal"/>
      <w:lvlText w:val="%1.%2"/>
      <w:lvlJc w:val="start"/>
      <w:pPr>
        <w:tabs>
          <w:tab w:val="num" w:pos="720"/>
        </w:tabs>
        <w:ind w:start="720" w:hanging="720"/>
      </w:pPr>
      <w:rPr>
        <w:i w:val="false"/>
        <w:b w:val="false"/>
      </w:rPr>
    </w:lvl>
    <w:lvl w:ilvl="2">
      <w:start w:val="1"/>
      <w:pStyle w:val="Heading3"/>
      <w:numFmt w:val="decimal"/>
      <w:lvlText w:val="%1.%2.%3"/>
      <w:lvlJc w:val="start"/>
      <w:pPr>
        <w:tabs>
          <w:tab w:val="num" w:pos="1440"/>
        </w:tabs>
        <w:ind w:start="1440" w:hanging="720"/>
      </w:pPr>
      <w:rPr>
        <w:sz w:val="22"/>
        <w:i w:val="false"/>
        <w:b w:val="false"/>
        <w:rFonts w:ascii="CG Times" w:hAnsi="CG Times" w:cs="CG Times"/>
      </w:rPr>
    </w:lvl>
    <w:lvl w:ilvl="3">
      <w:start w:val="1"/>
      <w:pStyle w:val="Heading4"/>
      <w:numFmt w:val="lowerLetter"/>
      <w:lvlText w:val="(%4)"/>
      <w:lvlJc w:val="start"/>
      <w:pPr>
        <w:tabs>
          <w:tab w:val="num" w:pos="1440"/>
        </w:tabs>
        <w:ind w:start="1440" w:hanging="720"/>
      </w:pPr>
      <w:rPr>
        <w:i w:val="false"/>
        <w:b w:val="false"/>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i w:val="false"/>
        <w:b w:val="false"/>
      </w:rPr>
    </w:lvl>
    <w:lvl w:ilvl="6">
      <w:start w:val="1"/>
      <w:pStyle w:val="Heading7"/>
      <w:numFmt w:val="none"/>
      <w:suff w:val="nothing"/>
      <w:lvlText w:val=""/>
      <w:lvlJc w:val="start"/>
      <w:pPr>
        <w:tabs>
          <w:tab w:val="num" w:pos="360"/>
        </w:tabs>
        <w:ind w:start="0" w:hanging="0"/>
      </w:pPr>
    </w:lvl>
    <w:lvl w:ilvl="7">
      <w:start w:val="1"/>
      <w:pStyle w:val="Heading8"/>
      <w:numFmt w:val="none"/>
      <w:suff w:val="nothing"/>
      <w:lvlText w:val=""/>
      <w:lvlJc w:val="start"/>
      <w:pPr>
        <w:tabs>
          <w:tab w:val="num" w:pos="360"/>
        </w:tabs>
        <w:ind w:start="0" w:hanging="0"/>
      </w:pPr>
    </w:lvl>
    <w:lvl w:ilvl="8">
      <w:start w:val="1"/>
      <w:pStyle w:val="Heading9"/>
      <w:numFmt w:val="none"/>
      <w:suff w:val="nothing"/>
      <w:lvlText w:val=""/>
      <w:lvlJc w:val="start"/>
      <w:pPr>
        <w:tabs>
          <w:tab w:val="num" w:pos="360"/>
        </w:tabs>
        <w:ind w:start="0" w:hanging="0"/>
      </w:pPr>
    </w:lvl>
  </w:abstractNum>
  <w:abstractNum w:abstractNumId="2">
    <w:lvl w:ilvl="0">
      <w:start w:val="1"/>
      <w:numFmt w:val="upperLetter"/>
      <w:lvlText w:val="(%1)"/>
      <w:lvlJc w:val="start"/>
      <w:pPr>
        <w:tabs>
          <w:tab w:val="num" w:pos="720"/>
        </w:tabs>
        <w:ind w:start="720" w:hanging="720"/>
      </w:pPr>
    </w:lvl>
    <w:lvl w:ilvl="1">
      <w:start w:val="1"/>
      <w:numFmt w:val="upperLetter"/>
      <w:lvlText w:val="(%2)"/>
      <w:lvlJc w:val="start"/>
      <w:pPr>
        <w:tabs>
          <w:tab w:val="num" w:pos="1440"/>
        </w:tabs>
        <w:ind w:start="1440" w:hanging="720"/>
      </w:pPr>
    </w:lvl>
    <w:lvl w:ilvl="2">
      <w:start w:val="1"/>
      <w:numFmt w:val="upperLetter"/>
      <w:lvlText w:val="(%3)"/>
      <w:lvlJc w:val="start"/>
      <w:pPr>
        <w:tabs>
          <w:tab w:val="num" w:pos="2160"/>
        </w:tabs>
        <w:ind w:start="2160" w:hanging="720"/>
      </w:pPr>
    </w:lvl>
    <w:lvl w:ilvl="3">
      <w:start w:val="1"/>
      <w:numFmt w:val="lowerRoman"/>
      <w:lvlText w:val="(%4)"/>
      <w:lvlJc w:val="end"/>
      <w:pPr>
        <w:tabs>
          <w:tab w:val="num" w:pos="864"/>
        </w:tabs>
        <w:ind w:start="864" w:hanging="144"/>
      </w:pPr>
    </w:lvl>
    <w:lvl w:ilvl="4">
      <w:start w:val="1"/>
      <w:numFmt w:val="decimal"/>
      <w:lvlText w:val="%5)"/>
      <w:lvlJc w:val="start"/>
      <w:pPr>
        <w:tabs>
          <w:tab w:val="num" w:pos="1008"/>
        </w:tabs>
        <w:ind w:start="1008" w:hanging="432"/>
      </w:pPr>
    </w:lvl>
    <w:lvl w:ilvl="5">
      <w:start w:val="1"/>
      <w:numFmt w:val="lowerLetter"/>
      <w:lvlText w:val="%6)"/>
      <w:lvlJc w:val="start"/>
      <w:pPr>
        <w:tabs>
          <w:tab w:val="num" w:pos="1152"/>
        </w:tabs>
        <w:ind w:start="1152" w:hanging="432"/>
      </w:pPr>
    </w:lvl>
    <w:lvl w:ilvl="6">
      <w:start w:val="1"/>
      <w:numFmt w:val="lowerRoman"/>
      <w:lvlText w:val="%7)"/>
      <w:lvlJc w:val="end"/>
      <w:pPr>
        <w:tabs>
          <w:tab w:val="num" w:pos="1296"/>
        </w:tabs>
        <w:ind w:start="1296" w:hanging="288"/>
      </w:pPr>
    </w:lvl>
    <w:lvl w:ilvl="7">
      <w:start w:val="1"/>
      <w:numFmt w:val="lowerLetter"/>
      <w:lvlText w:val="%8."/>
      <w:lvlJc w:val="start"/>
      <w:pPr>
        <w:tabs>
          <w:tab w:val="num" w:pos="1440"/>
        </w:tabs>
        <w:ind w:start="1440" w:hanging="432"/>
      </w:pPr>
    </w:lvl>
    <w:lvl w:ilvl="8">
      <w:start w:val="1"/>
      <w:numFmt w:val="lowerRoman"/>
      <w:lvlText w:val="%9."/>
      <w:lvlJc w:val="end"/>
      <w:pPr>
        <w:tabs>
          <w:tab w:val="num" w:pos="1584"/>
        </w:tabs>
        <w:ind w:start="1584" w:hanging="144"/>
      </w:pPr>
    </w:lvl>
  </w:abstractNum>
  <w:abstractNum w:abstractNumId="3">
    <w:lvl w:ilvl="0">
      <w:start w:val="1"/>
      <w:numFmt w:val="lowerRoman"/>
      <w:lvlText w:val="(%1)"/>
      <w:lvlJc w:val="start"/>
      <w:pPr>
        <w:tabs>
          <w:tab w:val="num" w:pos="720"/>
        </w:tabs>
        <w:ind w:start="720" w:hanging="720"/>
      </w:pPr>
    </w:lvl>
    <w:lvl w:ilvl="1">
      <w:start w:val="1"/>
      <w:numFmt w:val="lowerRoman"/>
      <w:lvlText w:val="(%2)"/>
      <w:lvlJc w:val="start"/>
      <w:pPr>
        <w:tabs>
          <w:tab w:val="num" w:pos="1440"/>
        </w:tabs>
        <w:ind w:start="1440" w:hanging="720"/>
      </w:pPr>
    </w:lvl>
    <w:lvl w:ilvl="2">
      <w:start w:val="1"/>
      <w:numFmt w:val="lowerRoman"/>
      <w:lvlText w:val="(%3)"/>
      <w:lvlJc w:val="start"/>
      <w:pPr>
        <w:tabs>
          <w:tab w:val="num" w:pos="2160"/>
        </w:tabs>
        <w:ind w:start="2160" w:hanging="720"/>
      </w:pPr>
    </w:lvl>
    <w:lvl w:ilvl="3">
      <w:start w:val="1"/>
      <w:numFmt w:val="decimal"/>
      <w:lvlText w:val="%1.%2.%3.%4."/>
      <w:lvlJc w:val="start"/>
      <w:pPr>
        <w:tabs>
          <w:tab w:val="num" w:pos="2160"/>
        </w:tabs>
        <w:ind w:start="1728" w:hanging="648"/>
      </w:pPr>
    </w:lvl>
    <w:lvl w:ilvl="4">
      <w:start w:val="1"/>
      <w:numFmt w:val="decimal"/>
      <w:lvlText w:val="%1.%2.%3.%4.%5."/>
      <w:lvlJc w:val="start"/>
      <w:pPr>
        <w:tabs>
          <w:tab w:val="num" w:pos="2520"/>
        </w:tabs>
        <w:ind w:start="2232" w:hanging="792"/>
      </w:pPr>
    </w:lvl>
    <w:lvl w:ilvl="5">
      <w:start w:val="1"/>
      <w:numFmt w:val="decimal"/>
      <w:lvlText w:val="%1.%2.%3.%4.%5.%6."/>
      <w:lvlJc w:val="start"/>
      <w:pPr>
        <w:tabs>
          <w:tab w:val="num" w:pos="3240"/>
        </w:tabs>
        <w:ind w:start="2736" w:hanging="936"/>
      </w:pPr>
    </w:lvl>
    <w:lvl w:ilvl="6">
      <w:start w:val="1"/>
      <w:numFmt w:val="decimal"/>
      <w:lvlText w:val="%1.%2.%3.%4.%5.%6.%7."/>
      <w:lvlJc w:val="start"/>
      <w:pPr>
        <w:tabs>
          <w:tab w:val="num" w:pos="3600"/>
        </w:tabs>
        <w:ind w:start="3240" w:hanging="108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4680"/>
        </w:tabs>
        <w:ind w:start="4320" w:hanging="1440"/>
      </w:pPr>
    </w:lvl>
  </w:abstractNum>
  <w:abstractNum w:abstractNumId="4">
    <w:lvl w:ilvl="0">
      <w:start w:val="1"/>
      <w:numFmt w:val="upperLetter"/>
      <w:lvlText w:val="Part %1"/>
      <w:lvlJc w:val="start"/>
      <w:pPr>
        <w:tabs>
          <w:tab w:val="num" w:pos="612"/>
        </w:tabs>
        <w:ind w:start="0" w:hanging="0"/>
      </w:pPr>
      <w:rPr>
        <w:sz w:val="21"/>
        <w:b/>
        <w:rFonts w:ascii="CG Times" w:hAnsi="CG Times" w:cs="CG Times"/>
      </w:rPr>
    </w:lvl>
    <w:lvl w:ilvl="1">
      <w:start w:val="1"/>
      <w:numFmt w:val="decimal"/>
      <w:lvlText w:val="%2."/>
      <w:lvlJc w:val="start"/>
      <w:pPr>
        <w:tabs>
          <w:tab w:val="num" w:pos="624"/>
        </w:tabs>
        <w:ind w:start="624" w:hanging="624"/>
      </w:pPr>
    </w:lvl>
    <w:lvl w:ilvl="2">
      <w:start w:val="1"/>
      <w:numFmt w:val="lowerRoman"/>
      <w:lvlText w:val="(%3)"/>
      <w:lvlJc w:val="start"/>
      <w:pPr>
        <w:tabs>
          <w:tab w:val="num" w:pos="720"/>
        </w:tabs>
        <w:ind w:start="624" w:hanging="624"/>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bullet"/>
      <w:lvlText w:val=""/>
      <w:lvlJc w:val="start"/>
      <w:pPr>
        <w:tabs>
          <w:tab w:val="num" w:pos="360"/>
        </w:tabs>
        <w:ind w:start="360" w:hanging="360"/>
      </w:pPr>
      <w:rPr>
        <w:rFonts w:ascii="Wingdings" w:hAnsi="Wingdings" w:cs="Wingdings" w:hint="default"/>
        <w:sz w:val="16"/>
      </w:rPr>
    </w:lvl>
  </w:abstractNum>
  <w:abstractNum w:abstractNumId="6">
    <w:lvl w:ilvl="0">
      <w:start w:val="1"/>
      <w:numFmt w:val="bullet"/>
      <w:lvlText w:val=""/>
      <w:lvlJc w:val="start"/>
      <w:pPr>
        <w:tabs>
          <w:tab w:val="num" w:pos="397"/>
        </w:tabs>
        <w:ind w:start="397" w:hanging="397"/>
      </w:pPr>
      <w:rPr>
        <w:rFonts w:ascii="Symbol" w:hAnsi="Symbol" w:cs="Symbol" w:hint="default"/>
      </w:rPr>
    </w:lvl>
  </w:abstractNum>
  <w:abstractNum w:abstractNumId="7">
    <w:lvl w:ilvl="0">
      <w:start w:val="1"/>
      <w:numFmt w:val="lowerLetter"/>
      <w:lvlText w:val="(%1)"/>
      <w:lvlJc w:val="start"/>
      <w:pPr>
        <w:tabs>
          <w:tab w:val="num" w:pos="720"/>
        </w:tabs>
        <w:ind w:start="720" w:hanging="720"/>
      </w:pPr>
    </w:lvl>
    <w:lvl w:ilvl="1">
      <w:start w:val="1"/>
      <w:numFmt w:val="decimal"/>
      <w:lvlText w:val="%2."/>
      <w:lvlJc w:val="start"/>
      <w:pPr>
        <w:tabs>
          <w:tab w:val="num" w:pos="720"/>
        </w:tabs>
        <w:ind w:start="720" w:hanging="721"/>
      </w:pPr>
    </w:lvl>
    <w:lvl w:ilvl="2">
      <w:start w:val="1"/>
      <w:numFmt w:val="lowerRoman"/>
      <w:lvlText w:val="(%3)"/>
      <w:lvlJc w:val="start"/>
      <w:pPr>
        <w:tabs>
          <w:tab w:val="num" w:pos="2160"/>
        </w:tabs>
        <w:ind w:start="2160" w:hanging="720"/>
      </w:pPr>
    </w:lvl>
    <w:lvl w:ilvl="3">
      <w:start w:val="1"/>
      <w:numFmt w:val="lowerLetter"/>
      <w:lvlText w:val="%4)"/>
      <w:lvlJc w:val="start"/>
      <w:pPr>
        <w:tabs>
          <w:tab w:val="num" w:pos="2520"/>
        </w:tabs>
        <w:ind w:start="2160" w:hanging="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8">
    <w:lvl w:ilvl="0">
      <w:start w:val="1"/>
      <w:numFmt w:val="bullet"/>
      <w:lvlText w:val=""/>
      <w:lvlJc w:val="start"/>
      <w:pPr>
        <w:tabs>
          <w:tab w:val="num" w:pos="1440"/>
        </w:tabs>
        <w:ind w:start="1440" w:hanging="720"/>
      </w:pPr>
      <w:rPr>
        <w:rFonts w:ascii="Symbol" w:hAnsi="Symbol" w:cs="Symbol" w:hint="default"/>
      </w:rPr>
    </w:lvl>
  </w:abstractNum>
  <w:abstractNum w:abstractNumId="9">
    <w:lvl w:ilvl="0">
      <w:start w:val="1"/>
      <w:numFmt w:val="bullet"/>
      <w:lvlText w:val=""/>
      <w:lvlJc w:val="start"/>
      <w:pPr>
        <w:tabs>
          <w:tab w:val="num" w:pos="397"/>
        </w:tabs>
        <w:ind w:start="397" w:hanging="397"/>
      </w:pPr>
      <w:rPr>
        <w:rFonts w:ascii="Symbol" w:hAnsi="Symbol" w:cs="Symbol" w:hint="default"/>
      </w:rPr>
    </w:lvl>
  </w:abstractNum>
  <w:abstractNum w:abstractNumId="10">
    <w:lvl w:ilvl="0">
      <w:start w:val="1"/>
      <w:numFmt w:val="bullet"/>
      <w:lvlText w:val=""/>
      <w:lvlJc w:val="start"/>
      <w:pPr>
        <w:tabs>
          <w:tab w:val="num" w:pos="720"/>
        </w:tabs>
        <w:ind w:start="720" w:hanging="720"/>
      </w:pPr>
      <w:rPr>
        <w:rFonts w:ascii="Symbol" w:hAnsi="Symbol" w:cs="Symbol" w:hint="default"/>
      </w:rPr>
    </w:lvl>
  </w:abstractNum>
  <w:abstractNum w:abstractNumId="11">
    <w:lvl w:ilvl="0">
      <w:start w:val="1"/>
      <w:numFmt w:val="bullet"/>
      <w:lvlText w:val=""/>
      <w:lvlJc w:val="start"/>
      <w:pPr>
        <w:tabs>
          <w:tab w:val="num" w:pos="360"/>
        </w:tabs>
        <w:ind w:start="357" w:hanging="357"/>
      </w:pPr>
      <w:rPr>
        <w:rFonts w:ascii="Symbol" w:hAnsi="Symbol" w:cs="Symbol" w:hint="default"/>
      </w:rPr>
    </w:lvl>
  </w:abstractNum>
  <w:abstractNum w:abstractNumId="12">
    <w:lvl w:ilvl="0">
      <w:start w:val="1"/>
      <w:numFmt w:val="bullet"/>
      <w:lvlText w:val=""/>
      <w:lvlJc w:val="start"/>
      <w:pPr>
        <w:tabs>
          <w:tab w:val="num" w:pos="720"/>
        </w:tabs>
        <w:ind w:start="720" w:hanging="72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Wingdings" w:hAnsi="Wingdings" w:cs="Wingdings" w:hint="default"/>
        <w:sz w:val="16"/>
      </w:rPr>
    </w:lvl>
  </w:abstractNum>
  <w:abstractNum w:abstractNumId="14">
    <w:lvl w:ilvl="0">
      <w:start w:val="1"/>
      <w:numFmt w:val="bullet"/>
      <w:lvlText w:val=""/>
      <w:lvlJc w:val="start"/>
      <w:pPr>
        <w:tabs>
          <w:tab w:val="num" w:pos="397"/>
        </w:tabs>
        <w:ind w:start="397" w:hanging="397"/>
      </w:pPr>
      <w:rPr>
        <w:rFonts w:ascii="Symbol" w:hAnsi="Symbol" w:cs="Symbol" w:hint="default"/>
      </w:rPr>
    </w:lvl>
  </w:abstractNum>
  <w:abstractNum w:abstractNumId="15">
    <w:lvl w:ilvl="0">
      <w:start w:val="1"/>
      <w:numFmt w:val="decimal"/>
      <w:lvlText w:val="%1."/>
      <w:lvlJc w:val="start"/>
      <w:pPr>
        <w:tabs>
          <w:tab w:val="num" w:pos="720"/>
        </w:tabs>
        <w:ind w:start="720" w:hanging="720"/>
      </w:pPr>
    </w:lvl>
    <w:lvl w:ilvl="1">
      <w:start w:val="1"/>
      <w:numFmt w:val="decimal"/>
      <w:lvlText w:val="%1.%2"/>
      <w:lvlJc w:val="start"/>
      <w:pPr>
        <w:tabs>
          <w:tab w:val="num" w:pos="720"/>
        </w:tabs>
        <w:ind w:start="720" w:hanging="720"/>
      </w:pPr>
    </w:lvl>
    <w:lvl w:ilvl="2">
      <w:start w:val="1"/>
      <w:numFmt w:val="decimal"/>
      <w:lvlText w:val="%1.%2.%3"/>
      <w:lvlJc w:val="start"/>
      <w:pPr>
        <w:tabs>
          <w:tab w:val="num" w:pos="720"/>
        </w:tabs>
        <w:ind w:start="720" w:hanging="720"/>
      </w:pPr>
    </w:lvl>
    <w:lvl w:ilvl="3">
      <w:start w:val="1"/>
      <w:numFmt w:val="decimal"/>
      <w:lvlText w:val="%1.%2.%3.%4"/>
      <w:lvlJc w:val="start"/>
      <w:pPr>
        <w:tabs>
          <w:tab w:val="num" w:pos="864"/>
        </w:tabs>
        <w:ind w:start="864" w:hanging="864"/>
      </w:pPr>
    </w:lvl>
    <w:lvl w:ilvl="4">
      <w:start w:val="1"/>
      <w:numFmt w:val="decimal"/>
      <w:lvlText w:val="%1.%2.%3.%4.%5"/>
      <w:lvlJc w:val="start"/>
      <w:pPr>
        <w:tabs>
          <w:tab w:val="num" w:pos="1008"/>
        </w:tabs>
        <w:ind w:start="1008" w:hanging="1008"/>
      </w:pPr>
    </w:lvl>
    <w:lvl w:ilvl="5">
      <w:start w:val="1"/>
      <w:numFmt w:val="decimal"/>
      <w:lvlText w:val="%1.%2.%3.%4.%5.%6"/>
      <w:lvlJc w:val="start"/>
      <w:pPr>
        <w:tabs>
          <w:tab w:val="num" w:pos="1152"/>
        </w:tabs>
        <w:ind w:start="1152" w:hanging="1152"/>
      </w:pPr>
    </w:lvl>
    <w:lvl w:ilvl="6">
      <w:start w:val="1"/>
      <w:numFmt w:val="decimal"/>
      <w:lvlText w:val="%1.%2.%3.%4.%5.%6.%7"/>
      <w:lvlJc w:val="start"/>
      <w:pPr>
        <w:tabs>
          <w:tab w:val="num" w:pos="1296"/>
        </w:tabs>
        <w:ind w:start="1296" w:hanging="1296"/>
      </w:pPr>
    </w:lvl>
    <w:lvl w:ilvl="7">
      <w:start w:val="1"/>
      <w:numFmt w:val="decimal"/>
      <w:lvlText w:val="%1.%2.%3.%4.%5.%6.%7.%8"/>
      <w:lvlJc w:val="start"/>
      <w:pPr>
        <w:tabs>
          <w:tab w:val="num" w:pos="1440"/>
        </w:tabs>
        <w:ind w:start="1440" w:hanging="1440"/>
      </w:pPr>
    </w:lvl>
    <w:lvl w:ilvl="8">
      <w:start w:val="1"/>
      <w:numFmt w:val="decimal"/>
      <w:lvlText w:val="%1.%2.%3.%4.%5.%6.%7.%8.%9"/>
      <w:lvlJc w:val="start"/>
      <w:pPr>
        <w:tabs>
          <w:tab w:val="num" w:pos="1584"/>
        </w:tabs>
        <w:ind w:start="1584" w:hanging="1584"/>
      </w:p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720"/>
        </w:tabs>
        <w:ind w:start="720" w:hanging="720"/>
      </w:pPr>
      <w:rPr>
        <w:rFonts w:ascii="Symbol" w:hAnsi="Symbol" w:cs="Symbol" w:hint="default"/>
      </w:rPr>
    </w:lvl>
  </w:abstractNum>
  <w:abstractNum w:abstractNumId="18">
    <w:lvl w:ilvl="0">
      <w:start w:val="1"/>
      <w:numFmt w:val="bullet"/>
      <w:lvlText w:val=""/>
      <w:lvlJc w:val="start"/>
      <w:pPr>
        <w:tabs>
          <w:tab w:val="num" w:pos="720"/>
        </w:tabs>
        <w:ind w:start="720" w:hanging="720"/>
      </w:pPr>
      <w:rPr>
        <w:rFonts w:ascii="Symbol" w:hAnsi="Symbol" w:cs="Symbol" w:hint="default"/>
      </w:rPr>
    </w:lvl>
  </w:abstractNum>
  <w:abstractNum w:abstractNumId="19">
    <w:lvl w:ilvl="0">
      <w:start w:val="1"/>
      <w:numFmt w:val="lowerRoman"/>
      <w:lvlText w:val="(%1)"/>
      <w:lvlJc w:val="start"/>
      <w:pPr>
        <w:tabs>
          <w:tab w:val="num" w:pos="720"/>
        </w:tabs>
        <w:ind w:start="720" w:hanging="720"/>
      </w:pPr>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start w:val="1"/>
      <w:numFmt w:val="bullet"/>
      <w:lvlText w:val=""/>
      <w:lvlJc w:val="start"/>
      <w:pPr>
        <w:tabs>
          <w:tab w:val="num" w:pos="397"/>
        </w:tabs>
        <w:ind w:start="397" w:hanging="397"/>
      </w:pPr>
      <w:rPr>
        <w:rFonts w:ascii="Symbol" w:hAnsi="Symbol" w:cs="Symbol" w:hint="default"/>
      </w:rPr>
    </w:lvl>
  </w:abstractNum>
  <w:abstractNum w:abstractNumId="22">
    <w:lvl w:ilvl="0">
      <w:start w:val="1"/>
      <w:numFmt w:val="decimal"/>
      <w:lvlText w:val="(%1)"/>
      <w:lvlJc w:val="start"/>
      <w:pPr>
        <w:tabs>
          <w:tab w:val="num" w:pos="720"/>
        </w:tabs>
        <w:ind w:start="720" w:hanging="720"/>
      </w:pPr>
    </w:lvl>
    <w:lvl w:ilvl="1">
      <w:start w:val="1"/>
      <w:numFmt w:val="decimal"/>
      <w:lvlText w:val="(%2)"/>
      <w:lvlJc w:val="start"/>
      <w:pPr>
        <w:tabs>
          <w:tab w:val="num" w:pos="1440"/>
        </w:tabs>
        <w:ind w:start="1440" w:hanging="720"/>
      </w:pPr>
    </w:lvl>
    <w:lvl w:ilvl="2">
      <w:start w:val="1"/>
      <w:numFmt w:val="decimal"/>
      <w:lvlText w:val="(%3)"/>
      <w:lvlJc w:val="start"/>
      <w:pPr>
        <w:tabs>
          <w:tab w:val="num" w:pos="2160"/>
        </w:tabs>
        <w:ind w:start="2160" w:hanging="720"/>
      </w:pPr>
    </w:lvl>
    <w:lvl w:ilvl="3">
      <w:start w:val="1"/>
      <w:numFmt w:val="decimal"/>
      <w:lvlText w:val="(%4)"/>
      <w:lvlJc w:val="start"/>
      <w:pPr>
        <w:tabs>
          <w:tab w:val="num" w:pos="2880"/>
        </w:tabs>
        <w:ind w:start="2880" w:hanging="720"/>
      </w:pPr>
    </w:lvl>
    <w:lvl w:ilvl="4">
      <w:start w:val="1"/>
      <w:numFmt w:val="decimal"/>
      <w:lvlText w:val="(%5)"/>
      <w:lvlJc w:val="start"/>
      <w:pPr>
        <w:tabs>
          <w:tab w:val="num" w:pos="3240"/>
        </w:tabs>
        <w:ind w:start="2880" w:hanging="0"/>
      </w:pPr>
    </w:lvl>
    <w:lvl w:ilvl="5">
      <w:start w:val="1"/>
      <w:numFmt w:val="lowerLetter"/>
      <w:lvlText w:val="(%6)"/>
      <w:lvlJc w:val="start"/>
      <w:pPr>
        <w:tabs>
          <w:tab w:val="num" w:pos="3960"/>
        </w:tabs>
        <w:ind w:start="3600" w:hanging="0"/>
      </w:p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120"/>
        </w:tabs>
        <w:ind w:start="5760" w:hanging="0"/>
      </w:pPr>
    </w:lvl>
  </w:abstractNum>
  <w:abstractNum w:abstractNumId="23">
    <w:lvl w:ilvl="0">
      <w:start w:val="1"/>
      <w:numFmt w:val="bullet"/>
      <w:lvlText w:val=""/>
      <w:lvlJc w:val="start"/>
      <w:pPr>
        <w:tabs>
          <w:tab w:val="num" w:pos="397"/>
        </w:tabs>
        <w:ind w:start="397" w:hanging="397"/>
      </w:pPr>
      <w:rPr>
        <w:rFonts w:ascii="Symbol" w:hAnsi="Symbol" w:cs="Symbol" w:hint="default"/>
      </w:rPr>
    </w:lvl>
  </w:abstractNum>
  <w:abstractNum w:abstractNumId="24">
    <w:lvl w:ilvl="0">
      <w:start w:val="1"/>
      <w:numFmt w:val="bullet"/>
      <w:lvlText w:val=""/>
      <w:lvlJc w:val="start"/>
      <w:pPr>
        <w:tabs>
          <w:tab w:val="num" w:pos="360"/>
        </w:tabs>
        <w:ind w:start="357" w:hanging="357"/>
      </w:pPr>
      <w:rPr>
        <w:rFonts w:ascii="Symbol" w:hAnsi="Symbol" w:cs="Symbol" w:hint="default"/>
      </w:rPr>
    </w:lvl>
  </w:abstractNum>
  <w:abstractNum w:abstractNumId="25">
    <w:lvl w:ilvl="0">
      <w:start w:val="1"/>
      <w:numFmt w:val="bullet"/>
      <w:lvlText w:val=""/>
      <w:lvlJc w:val="start"/>
      <w:pPr>
        <w:tabs>
          <w:tab w:val="num" w:pos="360"/>
        </w:tabs>
        <w:ind w:start="360" w:hanging="360"/>
      </w:pPr>
      <w:rPr>
        <w:rFonts w:ascii="Symbol" w:hAnsi="Symbol" w:cs="Symbol" w:hint="default"/>
      </w:rPr>
    </w:lvl>
  </w:abstractNum>
  <w:abstractNum w:abstractNumId="26">
    <w:lvl w:ilvl="0">
      <w:start w:val="1"/>
      <w:numFmt w:val="bullet"/>
      <w:lvlText w:val=""/>
      <w:lvlJc w:val="start"/>
      <w:pPr>
        <w:tabs>
          <w:tab w:val="num" w:pos="360"/>
        </w:tabs>
        <w:ind w:start="360" w:hanging="360"/>
      </w:pPr>
      <w:rPr>
        <w:rFonts w:ascii="Wingdings" w:hAnsi="Wingdings" w:cs="Wingdings" w:hint="default"/>
        <w:sz w:val="16"/>
      </w:rPr>
    </w:lvl>
  </w:abstractNum>
  <w:abstractNum w:abstractNumId="27">
    <w:lvl w:ilvl="0">
      <w:numFmt w:val="bullet"/>
      <w:lvlText w:val=""/>
      <w:lvlJc w:val="start"/>
      <w:pPr>
        <w:tabs>
          <w:tab w:val="num" w:pos="567"/>
        </w:tabs>
        <w:ind w:start="567" w:hanging="567"/>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
    <w:lvlOverride w:ilvl="0">
      <w:startOverride w:val="1"/>
    </w:lvlOverride>
    <w:lvlOverride w:ilvl="1">
      <w:startOverride w:val="1"/>
    </w:lvlOverride>
    <w:lvlOverride w:ilvl="2">
      <w:startOverride w:val="1"/>
    </w:lvlOverride>
    <w:lvlOverride w:ilvl="3">
      <w:startOverride w:val="1"/>
    </w:lvlOverride>
  </w:num>
  <w:num w:numId="29">
    <w:abstractNumId w:val="5"/>
    <w:lvlOverride w:ilvl="0">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PPStyle" w:val="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88" w:before="0" w:after="240"/>
      <w:jc w:val="both"/>
    </w:pPr>
    <w:rPr>
      <w:rFonts w:ascii="CG Times" w:hAnsi="CG Times" w:eastAsia="Times New Roman" w:cs="CG Times"/>
      <w:color w:val="auto"/>
      <w:sz w:val="22"/>
      <w:szCs w:val="20"/>
      <w:lang w:val="en-GB" w:eastAsia="zh-CN" w:bidi="hi-IN"/>
    </w:rPr>
  </w:style>
  <w:style w:type="paragraph" w:styleId="Heading1">
    <w:name w:val="heading 1"/>
    <w:basedOn w:val="Normal"/>
    <w:next w:val="Heading2"/>
    <w:qFormat/>
    <w:pPr>
      <w:keepNext w:val="true"/>
      <w:numPr>
        <w:ilvl w:val="0"/>
        <w:numId w:val="1"/>
      </w:numPr>
      <w:spacing w:before="120" w:after="120"/>
      <w:outlineLvl w:val="0"/>
    </w:pPr>
    <w:rPr>
      <w:b/>
      <w:caps/>
      <w:kern w:val="2"/>
    </w:rPr>
  </w:style>
  <w:style w:type="paragraph" w:styleId="Heading2">
    <w:name w:val="heading 2"/>
    <w:basedOn w:val="Normal"/>
    <w:next w:val="BodyText"/>
    <w:qFormat/>
    <w:pPr>
      <w:numPr>
        <w:ilvl w:val="1"/>
        <w:numId w:val="1"/>
      </w:numPr>
      <w:outlineLvl w:val="1"/>
    </w:pPr>
    <w:rPr>
      <w:b/>
    </w:rPr>
  </w:style>
  <w:style w:type="paragraph" w:styleId="Heading3">
    <w:name w:val="heading 3"/>
    <w:basedOn w:val="Normal"/>
    <w:next w:val="BodyText"/>
    <w:qFormat/>
    <w:pPr>
      <w:numPr>
        <w:ilvl w:val="2"/>
        <w:numId w:val="1"/>
      </w:numPr>
      <w:outlineLvl w:val="2"/>
    </w:pPr>
    <w:rPr/>
  </w:style>
  <w:style w:type="paragraph" w:styleId="Heading4">
    <w:name w:val="heading 4"/>
    <w:basedOn w:val="Normal"/>
    <w:next w:val="BodyText"/>
    <w:qFormat/>
    <w:pPr>
      <w:numPr>
        <w:ilvl w:val="3"/>
        <w:numId w:val="1"/>
      </w:numPr>
      <w:outlineLvl w:val="3"/>
    </w:pPr>
    <w:rPr/>
  </w:style>
  <w:style w:type="paragraph" w:styleId="Heading5">
    <w:name w:val="heading 5"/>
    <w:basedOn w:val="Normal"/>
    <w:next w:val="BodyText"/>
    <w:qFormat/>
    <w:pPr>
      <w:numPr>
        <w:ilvl w:val="4"/>
        <w:numId w:val="1"/>
      </w:numPr>
      <w:outlineLvl w:val="4"/>
    </w:pPr>
    <w:rPr/>
  </w:style>
  <w:style w:type="paragraph" w:styleId="Heading6">
    <w:name w:val="heading 6"/>
    <w:basedOn w:val="Normal"/>
    <w:next w:val="BodyText"/>
    <w:qFormat/>
    <w:pPr>
      <w:numPr>
        <w:ilvl w:val="5"/>
        <w:numId w:val="1"/>
      </w:numPr>
      <w:outlineLvl w:val="5"/>
    </w:pPr>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style>
  <w:style w:type="paragraph" w:styleId="Heading9">
    <w:name w:val="heading 9"/>
    <w:basedOn w:val="Normal"/>
    <w:next w:val="Normal"/>
    <w:qFormat/>
    <w:pPr>
      <w:numPr>
        <w:ilvl w:val="8"/>
        <w:numId w:val="1"/>
      </w:numPr>
      <w:spacing w:before="240" w:after="6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1z3">
    <w:name w:val="WW8Num11z3"/>
    <w:qFormat/>
    <w:rPr>
      <w:b w:val="false"/>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Wingdings" w:hAnsi="Wingdings" w:cs="Wingdings"/>
      <w:sz w:val="16"/>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sz w:val="16"/>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Wingdings" w:hAnsi="Wingdings" w:cs="Wingdings"/>
    </w:rPr>
  </w:style>
  <w:style w:type="character" w:styleId="WW8Num31z0">
    <w:name w:val="WW8Num31z0"/>
    <w:qFormat/>
    <w:rPr>
      <w:rFonts w:ascii="CG Times" w:hAnsi="CG Times" w:cs="CG Times"/>
      <w:b/>
      <w:sz w:val="21"/>
    </w:rPr>
  </w:style>
  <w:style w:type="character" w:styleId="WW8Num32z0">
    <w:name w:val="WW8Num32z0"/>
    <w:qFormat/>
    <w:rPr>
      <w:rFonts w:ascii="Symbol" w:hAnsi="Symbol" w:cs="Symbol"/>
    </w:rPr>
  </w:style>
  <w:style w:type="character" w:styleId="WW8Num33z0">
    <w:name w:val="WW8Num33z0"/>
    <w:qFormat/>
    <w:rPr>
      <w:rFonts w:ascii="Wingdings" w:hAnsi="Wingdings" w:cs="Wingdings"/>
      <w:sz w:val="16"/>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Wingdings" w:hAnsi="Wingdings" w:cs="Wingdings"/>
      <w:sz w:val="16"/>
    </w:rPr>
  </w:style>
  <w:style w:type="character" w:styleId="WW8Num39z0">
    <w:name w:val="WW8Num39z0"/>
    <w:qFormat/>
    <w:rPr>
      <w:rFonts w:ascii="Wingdings" w:hAnsi="Wingdings" w:cs="Wingdings"/>
      <w:sz w:val="16"/>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Times New Roman" w:hAnsi="Times New Roman" w:cs="Times New Roman"/>
    </w:rPr>
  </w:style>
  <w:style w:type="character" w:styleId="WW8Num43z0">
    <w:name w:val="WW8Num43z0"/>
    <w:qFormat/>
    <w:rPr>
      <w:rFonts w:ascii="Wingdings" w:hAnsi="Wingdings" w:cs="Wingdings"/>
      <w:sz w:val="16"/>
    </w:rPr>
  </w:style>
  <w:style w:type="character" w:styleId="WW8Num44z0">
    <w:name w:val="WW8Num44z0"/>
    <w:qFormat/>
    <w:rPr>
      <w:rFonts w:ascii="Wingdings" w:hAnsi="Wingdings" w:cs="Wingdings"/>
    </w:rPr>
  </w:style>
  <w:style w:type="character" w:styleId="WW8Num45z0">
    <w:name w:val="WW8Num45z0"/>
    <w:qFormat/>
    <w:rPr>
      <w:rFonts w:ascii="Times New Roman" w:hAnsi="Times New Roman" w:cs="Times New Roman"/>
    </w:rPr>
  </w:style>
  <w:style w:type="character" w:styleId="WW8Num46z0">
    <w:name w:val="WW8Num46z0"/>
    <w:qFormat/>
    <w:rPr>
      <w:rFonts w:ascii="Wingdings" w:hAnsi="Wingdings" w:cs="Wingdings"/>
      <w:sz w:val="16"/>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5z0">
    <w:name w:val="WW8Num55z0"/>
    <w:qFormat/>
    <w:rPr>
      <w:rFonts w:ascii="Wingdings" w:hAnsi="Wingdings" w:cs="Wingdings"/>
      <w:sz w:val="16"/>
    </w:rPr>
  </w:style>
  <w:style w:type="character" w:styleId="WW8Num56z0">
    <w:name w:val="WW8Num56z0"/>
    <w:qFormat/>
    <w:rPr>
      <w:rFonts w:ascii="Symbol" w:hAnsi="Symbol" w:cs="Symbol"/>
    </w:rPr>
  </w:style>
  <w:style w:type="character" w:styleId="WW8Num57z0">
    <w:name w:val="WW8Num57z0"/>
    <w:qFormat/>
    <w:rPr>
      <w:rFonts w:ascii="Wingdings" w:hAnsi="Wingdings" w:cs="Wingdings"/>
      <w:sz w:val="16"/>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Times New Roman" w:hAnsi="Times New Roman" w:cs="Times New Roman"/>
    </w:rPr>
  </w:style>
  <w:style w:type="character" w:styleId="WW8Num61z0">
    <w:name w:val="WW8Num61z0"/>
    <w:qFormat/>
    <w:rPr>
      <w:rFonts w:ascii="Times New Roman" w:hAnsi="Times New Roman" w:cs="Times New Roman"/>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Wingdings" w:hAnsi="Wingdings" w:cs="Wingdings"/>
      <w:sz w:val="16"/>
    </w:rPr>
  </w:style>
  <w:style w:type="character" w:styleId="WW8Num66z0">
    <w:name w:val="WW8Num66z0"/>
    <w:qFormat/>
    <w:rPr>
      <w:rFonts w:ascii="Symbol" w:hAnsi="Symbol" w:cs="Symbol"/>
    </w:rPr>
  </w:style>
  <w:style w:type="character" w:styleId="WW8Num67z0">
    <w:name w:val="WW8Num67z0"/>
    <w:qFormat/>
    <w:rPr>
      <w:rFonts w:ascii="Symbol" w:hAnsi="Symbol" w:cs="Symbol"/>
      <w:color w:val="auto"/>
    </w:rPr>
  </w:style>
  <w:style w:type="character" w:styleId="WW8Num68z0">
    <w:name w:val="WW8Num68z0"/>
    <w:qFormat/>
    <w:rPr>
      <w:rFonts w:ascii="Times New Roman" w:hAnsi="Times New Roman" w:cs="Times New Roman"/>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Wingdings" w:hAnsi="Wingdings" w:cs="Wingdings"/>
      <w:sz w:val="16"/>
    </w:rPr>
  </w:style>
  <w:style w:type="character" w:styleId="WW8Num72z0">
    <w:name w:val="WW8Num72z0"/>
    <w:qFormat/>
    <w:rPr>
      <w:b w:val="false"/>
      <w:i w:val="false"/>
    </w:rPr>
  </w:style>
  <w:style w:type="character" w:styleId="WW8Num73z0">
    <w:name w:val="WW8Num73z0"/>
    <w:qFormat/>
    <w:rPr>
      <w:rFonts w:ascii="Symbol" w:hAnsi="Symbol" w:cs="Symbol"/>
    </w:rPr>
  </w:style>
  <w:style w:type="character" w:styleId="WW8Num75z0">
    <w:name w:val="WW8Num75z0"/>
    <w:qFormat/>
    <w:rPr>
      <w:rFonts w:ascii="Wingdings" w:hAnsi="Wingdings" w:cs="Wingdings"/>
      <w:sz w:val="16"/>
    </w:rPr>
  </w:style>
  <w:style w:type="character" w:styleId="WW8Num76z0">
    <w:name w:val="WW8Num76z0"/>
    <w:qFormat/>
    <w:rPr>
      <w:rFonts w:ascii="Times New Roman" w:hAnsi="Times New Roman" w:cs="Times New Roman"/>
    </w:rPr>
  </w:style>
  <w:style w:type="character" w:styleId="WW8Num77z0">
    <w:name w:val="WW8Num77z0"/>
    <w:qFormat/>
    <w:rPr>
      <w:rFonts w:ascii="Symbol" w:hAnsi="Symbol" w:cs="Symbol"/>
    </w:rPr>
  </w:style>
  <w:style w:type="character" w:styleId="WW8Num78z0">
    <w:name w:val="WW8Num78z0"/>
    <w:qFormat/>
    <w:rPr>
      <w:rFonts w:ascii="Times New Roman" w:hAnsi="Times New Roman" w:cs="Times New Roman"/>
    </w:rPr>
  </w:style>
  <w:style w:type="character" w:styleId="WW8Num79z0">
    <w:name w:val="WW8Num79z0"/>
    <w:qFormat/>
    <w:rPr>
      <w:rFonts w:ascii="Times New Roman" w:hAnsi="Times New Roman" w:cs="Times New Roman"/>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Wingdings" w:hAnsi="Wingdings" w:cs="Wingdings"/>
      <w:sz w:val="16"/>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Wingdings" w:hAnsi="Wingdings" w:cs="Wingdings"/>
      <w:sz w:val="16"/>
    </w:rPr>
  </w:style>
  <w:style w:type="character" w:styleId="WW8Num92z0">
    <w:name w:val="WW8Num92z0"/>
    <w:qFormat/>
    <w:rPr>
      <w:rFonts w:ascii="Symbol" w:hAnsi="Symbol" w:cs="Symbol"/>
    </w:rPr>
  </w:style>
  <w:style w:type="character" w:styleId="WW8Num93z0">
    <w:name w:val="WW8Num93z0"/>
    <w:qFormat/>
    <w:rPr>
      <w:rFonts w:ascii="Times New Roman" w:hAnsi="Times New Roman" w:cs="Times New Roman"/>
    </w:rPr>
  </w:style>
  <w:style w:type="character" w:styleId="WW8Num94z0">
    <w:name w:val="WW8Num94z0"/>
    <w:qFormat/>
    <w:rPr>
      <w:rFonts w:ascii="Wingdings" w:hAnsi="Wingdings" w:cs="Wingdings"/>
      <w:sz w:val="16"/>
    </w:rPr>
  </w:style>
  <w:style w:type="character" w:styleId="WW8Num95z0">
    <w:name w:val="WW8Num95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Times New Roman" w:hAnsi="Times New Roman" w:cs="Times New Roman"/>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CG Times" w:hAnsi="CG Times" w:cs="CG Times"/>
      <w:b w:val="false"/>
      <w:i w:val="false"/>
      <w:sz w:val="20"/>
    </w:rPr>
  </w:style>
  <w:style w:type="character" w:styleId="WW8Num104z1">
    <w:name w:val="WW8Num104z1"/>
    <w:qFormat/>
    <w:rPr>
      <w:b w:val="false"/>
      <w:i w:val="false"/>
      <w:sz w:val="20"/>
    </w:rPr>
  </w:style>
  <w:style w:type="character" w:styleId="WW8Num104z4">
    <w:name w:val="WW8Num104z4"/>
    <w:qFormat/>
    <w:rPr>
      <w:b w:val="false"/>
      <w:i w:val="false"/>
      <w:sz w:val="18"/>
    </w:rPr>
  </w:style>
  <w:style w:type="character" w:styleId="WW8Num104z8">
    <w:name w:val="WW8Num104z8"/>
    <w:qFormat/>
    <w:rPr>
      <w:b/>
      <w:i w:val="false"/>
      <w:caps/>
      <w:sz w:val="22"/>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b/>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color w:val="auto"/>
    </w:rPr>
  </w:style>
  <w:style w:type="character" w:styleId="WW8Num112z0">
    <w:name w:val="WW8Num112z0"/>
    <w:qFormat/>
    <w:rPr>
      <w:rFonts w:ascii="Symbol" w:hAnsi="Symbol" w:cs="Symbol"/>
    </w:rPr>
  </w:style>
  <w:style w:type="character" w:styleId="WW8Num113z0">
    <w:name w:val="WW8Num113z0"/>
    <w:qFormat/>
    <w:rPr>
      <w:rFonts w:ascii="Wingdings" w:hAnsi="Wingdings" w:cs="Wingdings"/>
      <w:sz w:val="16"/>
    </w:rPr>
  </w:style>
  <w:style w:type="character" w:styleId="WW8Num116z0">
    <w:name w:val="WW8Num116z0"/>
    <w:qFormat/>
    <w:rPr>
      <w:rFonts w:ascii="Wingdings" w:hAnsi="Wingdings" w:cs="Wingdings"/>
      <w:sz w:val="16"/>
    </w:rPr>
  </w:style>
  <w:style w:type="character" w:styleId="WW8Num117z0">
    <w:name w:val="WW8Num117z0"/>
    <w:qFormat/>
    <w:rPr>
      <w:b w:val="false"/>
      <w:i w:val="false"/>
    </w:rPr>
  </w:style>
  <w:style w:type="character" w:styleId="WW8Num118z0">
    <w:name w:val="WW8Num118z0"/>
    <w:qFormat/>
    <w:rPr>
      <w:rFonts w:ascii="Times New Roman" w:hAnsi="Times New Roman" w:cs="Times New Roman"/>
    </w:rPr>
  </w:style>
  <w:style w:type="character" w:styleId="WW8Num119z0">
    <w:name w:val="WW8Num119z0"/>
    <w:qFormat/>
    <w:rPr>
      <w:rFonts w:ascii="Symbol" w:hAnsi="Symbol" w:cs="Symbol"/>
    </w:rPr>
  </w:style>
  <w:style w:type="character" w:styleId="WW8Num120z0">
    <w:name w:val="WW8Num120z0"/>
    <w:qFormat/>
    <w:rPr>
      <w:rFonts w:ascii="Wingdings" w:hAnsi="Wingdings" w:cs="Wingdings"/>
      <w:sz w:val="16"/>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Wingdings" w:hAnsi="Wingdings" w:cs="Wingdings"/>
      <w:sz w:val="16"/>
    </w:rPr>
  </w:style>
  <w:style w:type="character" w:styleId="WW8Num129z0">
    <w:name w:val="WW8Num129z0"/>
    <w:qFormat/>
    <w:rPr>
      <w:rFonts w:ascii="Symbol" w:hAnsi="Symbol" w:cs="Symbol"/>
    </w:rPr>
  </w:style>
  <w:style w:type="character" w:styleId="WW8Num130z0">
    <w:name w:val="WW8Num130z0"/>
    <w:qFormat/>
    <w:rPr>
      <w:rFonts w:ascii="Times New Roman" w:hAnsi="Times New Roman" w:cs="Times New Roman"/>
    </w:rPr>
  </w:style>
  <w:style w:type="character" w:styleId="WW8Num131z0">
    <w:name w:val="WW8Num131z0"/>
    <w:qFormat/>
    <w:rPr>
      <w:rFonts w:ascii="CG Times" w:hAnsi="CG Times" w:cs="CG Times"/>
      <w:b w:val="false"/>
      <w:i w:val="false"/>
      <w:sz w:val="20"/>
    </w:rPr>
  </w:style>
  <w:style w:type="character" w:styleId="WW8Num131z1">
    <w:name w:val="WW8Num131z1"/>
    <w:qFormat/>
    <w:rPr>
      <w:b w:val="false"/>
      <w:i w:val="false"/>
      <w:sz w:val="20"/>
    </w:rPr>
  </w:style>
  <w:style w:type="character" w:styleId="WW8Num131z4">
    <w:name w:val="WW8Num131z4"/>
    <w:qFormat/>
    <w:rPr>
      <w:b w:val="false"/>
      <w:i w:val="false"/>
      <w:sz w:val="18"/>
    </w:rPr>
  </w:style>
  <w:style w:type="character" w:styleId="WW8Num131z8">
    <w:name w:val="WW8Num131z8"/>
    <w:qFormat/>
    <w:rPr>
      <w:b/>
      <w:i w:val="false"/>
      <w:caps/>
      <w:sz w:val="22"/>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Wingdings" w:hAnsi="Wingdings" w:cs="Wingdings"/>
      <w:sz w:val="16"/>
    </w:rPr>
  </w:style>
  <w:style w:type="character" w:styleId="WW8Num136z0">
    <w:name w:val="WW8Num136z0"/>
    <w:qFormat/>
    <w:rPr>
      <w:rFonts w:ascii="Symbol" w:hAnsi="Symbol" w:cs="Symbol"/>
    </w:rPr>
  </w:style>
  <w:style w:type="character" w:styleId="WW8Num137z0">
    <w:name w:val="WW8Num137z0"/>
    <w:qFormat/>
    <w:rPr>
      <w:rFonts w:ascii="Times New Roman" w:hAnsi="Times New Roman" w:cs="Times New Roman"/>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Times New Roman" w:hAnsi="Times New Roman" w:cs="Times New Roman"/>
    </w:rPr>
  </w:style>
  <w:style w:type="character" w:styleId="WW8Num142z0">
    <w:name w:val="WW8Num142z0"/>
    <w:qFormat/>
    <w:rPr>
      <w:rFonts w:ascii="CG Times" w:hAnsi="CG Times" w:cs="CG Times"/>
      <w:b w:val="false"/>
      <w:i w:val="false"/>
      <w:sz w:val="20"/>
    </w:rPr>
  </w:style>
  <w:style w:type="character" w:styleId="WW8Num142z1">
    <w:name w:val="WW8Num142z1"/>
    <w:qFormat/>
    <w:rPr>
      <w:b w:val="false"/>
      <w:i w:val="false"/>
      <w:sz w:val="20"/>
    </w:rPr>
  </w:style>
  <w:style w:type="character" w:styleId="WW8Num142z2">
    <w:name w:val="WW8Num142z2"/>
    <w:qFormat/>
    <w:rPr>
      <w:b w:val="false"/>
      <w:i w:val="false"/>
      <w:sz w:val="18"/>
    </w:rPr>
  </w:style>
  <w:style w:type="character" w:styleId="WW8Num142z8">
    <w:name w:val="WW8Num142z8"/>
    <w:qFormat/>
    <w:rPr>
      <w:b/>
      <w:i w:val="false"/>
      <w:caps/>
      <w:sz w:val="22"/>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Wingdings" w:hAnsi="Wingdings" w:cs="Wingdings"/>
      <w:sz w:val="16"/>
    </w:rPr>
  </w:style>
  <w:style w:type="character" w:styleId="WW8Num146z0">
    <w:name w:val="WW8Num146z0"/>
    <w:qFormat/>
    <w:rPr>
      <w:rFonts w:ascii="Symbol" w:hAnsi="Symbol" w:cs="Symbol"/>
    </w:rPr>
  </w:style>
  <w:style w:type="character" w:styleId="WW8Num147z0">
    <w:name w:val="WW8Num147z0"/>
    <w:qFormat/>
    <w:rPr>
      <w:rFonts w:ascii="Wingdings" w:hAnsi="Wingdings" w:cs="Wingdings"/>
      <w:sz w:val="16"/>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Wingdings" w:hAnsi="Wingdings" w:cs="Wingdings"/>
    </w:rPr>
  </w:style>
  <w:style w:type="character" w:styleId="WW8Num151z0">
    <w:name w:val="WW8Num151z0"/>
    <w:qFormat/>
    <w:rPr>
      <w:b w:val="false"/>
      <w:i w:val="false"/>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Wingdings" w:hAnsi="Wingdings" w:cs="Wingdings"/>
      <w:sz w:val="16"/>
    </w:rPr>
  </w:style>
  <w:style w:type="character" w:styleId="WW8Num156z0">
    <w:name w:val="WW8Num156z0"/>
    <w:qFormat/>
    <w:rPr>
      <w:rFonts w:ascii="Symbol" w:hAnsi="Symbol" w:cs="Symbol"/>
    </w:rPr>
  </w:style>
  <w:style w:type="character" w:styleId="WW8Num157z0">
    <w:name w:val="WW8Num157z0"/>
    <w:qFormat/>
    <w:rPr>
      <w:rFonts w:ascii="CG Times" w:hAnsi="CG Times" w:cs="CG Times"/>
      <w:b w:val="false"/>
      <w:i w:val="false"/>
      <w:sz w:val="18"/>
    </w:rPr>
  </w:style>
  <w:style w:type="character" w:styleId="WW8Num157z1">
    <w:name w:val="WW8Num157z1"/>
    <w:qFormat/>
    <w:rPr>
      <w:b w:val="false"/>
      <w:i w:val="false"/>
      <w:sz w:val="18"/>
    </w:rPr>
  </w:style>
  <w:style w:type="character" w:styleId="WW8Num157z3">
    <w:name w:val="WW8Num157z3"/>
    <w:qFormat/>
    <w:rPr>
      <w:b w:val="false"/>
      <w:i w:val="false"/>
      <w:sz w:val="20"/>
    </w:rPr>
  </w:style>
  <w:style w:type="character" w:styleId="WW8Num157z8">
    <w:name w:val="WW8Num157z8"/>
    <w:qFormat/>
    <w:rPr>
      <w:b/>
      <w:i w:val="false"/>
      <w:caps/>
      <w:sz w:val="22"/>
    </w:rPr>
  </w:style>
  <w:style w:type="character" w:styleId="WW8Num158z0">
    <w:name w:val="WW8Num158z0"/>
    <w:qFormat/>
    <w:rPr>
      <w:rFonts w:ascii="Wingdings" w:hAnsi="Wingdings" w:cs="Wingdings"/>
      <w:sz w:val="16"/>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b/>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7z0">
    <w:name w:val="WW8Num167z0"/>
    <w:qFormat/>
    <w:rPr>
      <w:rFonts w:ascii="Symbol" w:hAnsi="Symbol" w:cs="Symbol"/>
      <w:color w:val="auto"/>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b w:val="false"/>
      <w:i w:val="false"/>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Times New Roman" w:hAnsi="Times New Roman" w:cs="Times New Roman"/>
    </w:rPr>
  </w:style>
  <w:style w:type="character" w:styleId="WW8Num175z0">
    <w:name w:val="WW8Num175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rFonts w:ascii="Wingdings" w:hAnsi="Wingdings" w:cs="Wingdings"/>
    </w:rPr>
  </w:style>
  <w:style w:type="character" w:styleId="WW8Num179z0">
    <w:name w:val="WW8Num179z0"/>
    <w:qFormat/>
    <w:rPr>
      <w:rFonts w:ascii="Times New Roman" w:hAnsi="Times New Roman" w:cs="Times New Roman"/>
    </w:rPr>
  </w:style>
  <w:style w:type="character" w:styleId="WW8Num180z0">
    <w:name w:val="WW8Num180z0"/>
    <w:qFormat/>
    <w:rPr>
      <w:b w:val="false"/>
      <w:i w:val="false"/>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Times New Roman" w:hAnsi="Times New Roman" w:cs="Times New Roman"/>
    </w:rPr>
  </w:style>
  <w:style w:type="character" w:styleId="WW8Num188z0">
    <w:name w:val="WW8Num188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Wingdings" w:hAnsi="Wingdings" w:cs="Wingdings"/>
      <w:sz w:val="16"/>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CG Times" w:hAnsi="CG Times" w:cs="CG Times"/>
      <w:b w:val="false"/>
      <w:i w:val="false"/>
      <w:sz w:val="20"/>
    </w:rPr>
  </w:style>
  <w:style w:type="character" w:styleId="WW8Num194z1">
    <w:name w:val="WW8Num194z1"/>
    <w:qFormat/>
    <w:rPr>
      <w:b w:val="false"/>
      <w:i w:val="false"/>
      <w:sz w:val="20"/>
    </w:rPr>
  </w:style>
  <w:style w:type="character" w:styleId="WW8Num194z2">
    <w:name w:val="WW8Num194z2"/>
    <w:qFormat/>
    <w:rPr>
      <w:b w:val="false"/>
      <w:i w:val="false"/>
      <w:sz w:val="18"/>
    </w:rPr>
  </w:style>
  <w:style w:type="character" w:styleId="WW8Num194z8">
    <w:name w:val="WW8Num194z8"/>
    <w:qFormat/>
    <w:rPr>
      <w:b/>
      <w:i w:val="false"/>
      <w:caps/>
      <w:sz w:val="22"/>
    </w:rPr>
  </w:style>
  <w:style w:type="character" w:styleId="WW8Num195z0">
    <w:name w:val="WW8Num195z0"/>
    <w:qFormat/>
    <w:rPr>
      <w:rFonts w:ascii="Wingdings" w:hAnsi="Wingdings" w:cs="Wingdings"/>
      <w:sz w:val="16"/>
    </w:rPr>
  </w:style>
  <w:style w:type="character" w:styleId="WW8Num196z0">
    <w:name w:val="WW8Num196z0"/>
    <w:qFormat/>
    <w:rPr>
      <w:rFonts w:ascii="Symbol" w:hAnsi="Symbol" w:cs="Symbol"/>
    </w:rPr>
  </w:style>
  <w:style w:type="character" w:styleId="WW8Num197z0">
    <w:name w:val="WW8Num197z0"/>
    <w:qFormat/>
    <w:rPr>
      <w:rFonts w:ascii="Wingdings" w:hAnsi="Wingdings" w:cs="Wingdings"/>
      <w:sz w:val="16"/>
    </w:rPr>
  </w:style>
  <w:style w:type="character" w:styleId="WW8Num198z0">
    <w:name w:val="WW8Num198z0"/>
    <w:qFormat/>
    <w:rPr>
      <w:rFonts w:ascii="Symbol" w:hAnsi="Symbol" w:cs="Symbol"/>
    </w:rPr>
  </w:style>
  <w:style w:type="character" w:styleId="WW8Num199z0">
    <w:name w:val="WW8Num199z0"/>
    <w:qFormat/>
    <w:rPr>
      <w:b w:val="false"/>
      <w:i w:val="false"/>
    </w:rPr>
  </w:style>
  <w:style w:type="character" w:styleId="WW8Num199z2">
    <w:name w:val="WW8Num199z2"/>
    <w:qFormat/>
    <w:rPr>
      <w:rFonts w:ascii="CG Times" w:hAnsi="CG Times" w:cs="CG Times"/>
      <w:b w:val="false"/>
      <w:i w:val="false"/>
      <w:sz w:val="22"/>
    </w:rPr>
  </w:style>
  <w:style w:type="character" w:styleId="WW8Num200z0">
    <w:name w:val="WW8Num200z0"/>
    <w:qFormat/>
    <w:rPr>
      <w:rFonts w:ascii="Wingdings" w:hAnsi="Wingdings" w:cs="Wingdings"/>
      <w:sz w:val="16"/>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Wingdings" w:hAnsi="Wingdings" w:cs="Wingdings"/>
      <w:sz w:val="16"/>
    </w:rPr>
  </w:style>
  <w:style w:type="character" w:styleId="WW8Num208z0">
    <w:name w:val="WW8Num208z0"/>
    <w:qFormat/>
    <w:rPr>
      <w:rFonts w:ascii="Symbol" w:hAnsi="Symbol" w:cs="Symbol"/>
      <w:color w:val="auto"/>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Times New Roman" w:hAnsi="Times New Roman" w:cs="Times New Roman"/>
    </w:rPr>
  </w:style>
  <w:style w:type="character" w:styleId="WW8Num215z0">
    <w:name w:val="WW8Num215z0"/>
    <w:qFormat/>
    <w:rPr>
      <w:rFonts w:ascii="Symbol" w:hAnsi="Symbol" w:cs="Symbol"/>
    </w:rPr>
  </w:style>
  <w:style w:type="character" w:styleId="WW8Num216z0">
    <w:name w:val="WW8Num216z0"/>
    <w:qFormat/>
    <w:rPr>
      <w:rFonts w:ascii="Wingdings" w:hAnsi="Wingdings" w:cs="Wingdings"/>
      <w:sz w:val="16"/>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CG Times" w:hAnsi="CG Times" w:cs="CG Times"/>
      <w:b w:val="false"/>
      <w:i w:val="false"/>
      <w:sz w:val="20"/>
    </w:rPr>
  </w:style>
  <w:style w:type="character" w:styleId="WW8Num222z1">
    <w:name w:val="WW8Num222z1"/>
    <w:qFormat/>
    <w:rPr>
      <w:b w:val="false"/>
      <w:i w:val="false"/>
      <w:sz w:val="20"/>
    </w:rPr>
  </w:style>
  <w:style w:type="character" w:styleId="WW8Num222z4">
    <w:name w:val="WW8Num222z4"/>
    <w:qFormat/>
    <w:rPr>
      <w:b w:val="false"/>
      <w:i w:val="false"/>
      <w:sz w:val="18"/>
    </w:rPr>
  </w:style>
  <w:style w:type="character" w:styleId="WW8Num222z8">
    <w:name w:val="WW8Num222z8"/>
    <w:qFormat/>
    <w:rPr>
      <w:b/>
      <w:i w:val="false"/>
      <w:caps/>
      <w:sz w:val="22"/>
    </w:rPr>
  </w:style>
  <w:style w:type="character" w:styleId="WW8Num223z0">
    <w:name w:val="WW8Num223z0"/>
    <w:qFormat/>
    <w:rPr>
      <w:rFonts w:ascii="Symbol" w:hAnsi="Symbol" w:cs="Symbol"/>
    </w:rPr>
  </w:style>
  <w:style w:type="character" w:styleId="WW8Num224z0">
    <w:name w:val="WW8Num224z0"/>
    <w:qFormat/>
    <w:rPr>
      <w:rFonts w:ascii="Wingdings" w:hAnsi="Wingdings" w:cs="Wingdings"/>
      <w:sz w:val="16"/>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Times New Roman" w:hAnsi="Times New Roman" w:cs="Times New Roman"/>
    </w:rPr>
  </w:style>
  <w:style w:type="character" w:styleId="WW8Num231z0">
    <w:name w:val="WW8Num231z0"/>
    <w:qFormat/>
    <w:rPr>
      <w:rFonts w:ascii="Times New Roman" w:hAnsi="Times New Roman" w:cs="Times New Roman"/>
    </w:rPr>
  </w:style>
  <w:style w:type="character" w:styleId="WW8Num233z0">
    <w:name w:val="WW8Num233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Wingdings" w:hAnsi="Wingdings" w:cs="Wingdings"/>
      <w:sz w:val="16"/>
    </w:rPr>
  </w:style>
  <w:style w:type="character" w:styleId="WW8Num239z0">
    <w:name w:val="WW8Num239z0"/>
    <w:qFormat/>
    <w:rPr>
      <w:rFonts w:ascii="Wingdings" w:hAnsi="Wingdings" w:cs="Wingdings"/>
      <w:sz w:val="16"/>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color w:val="auto"/>
    </w:rPr>
  </w:style>
  <w:style w:type="character" w:styleId="WW8Num244z0">
    <w:name w:val="WW8Num244z0"/>
    <w:qFormat/>
    <w:rPr/>
  </w:style>
  <w:style w:type="character" w:styleId="WW8Num245z0">
    <w:name w:val="WW8Num245z0"/>
    <w:qFormat/>
    <w:rPr>
      <w:b/>
      <w:i w:val="false"/>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Wingdings" w:hAnsi="Wingdings" w:cs="Wingdings"/>
      <w:sz w:val="16"/>
    </w:rPr>
  </w:style>
  <w:style w:type="character" w:styleId="WW8Num253z0">
    <w:name w:val="WW8Num253z0"/>
    <w:qFormat/>
    <w:rPr>
      <w:rFonts w:ascii="Wingdings" w:hAnsi="Wingdings" w:cs="Wingdings"/>
      <w:sz w:val="16"/>
    </w:rPr>
  </w:style>
  <w:style w:type="character" w:styleId="WW8Num254z0">
    <w:name w:val="WW8Num254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Times New Roman" w:hAnsi="Times New Roman" w:cs="Times New Roman"/>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Wingdings" w:hAnsi="Wingdings" w:cs="Wingdings"/>
    </w:rPr>
  </w:style>
  <w:style w:type="character" w:styleId="WW8Num261z0">
    <w:name w:val="WW8Num261z0"/>
    <w:qFormat/>
    <w:rPr>
      <w:b w:val="false"/>
      <w:i w:val="false"/>
    </w:rPr>
  </w:style>
  <w:style w:type="character" w:styleId="WW8Num262z0">
    <w:name w:val="WW8Num262z0"/>
    <w:qFormat/>
    <w:rPr>
      <w:rFonts w:ascii="Wingdings" w:hAnsi="Wingdings" w:cs="Wingdings"/>
    </w:rPr>
  </w:style>
  <w:style w:type="character" w:styleId="WW8Num264z0">
    <w:name w:val="WW8Num264z0"/>
    <w:qFormat/>
    <w:rPr>
      <w:rFonts w:ascii="Symbol" w:hAnsi="Symbol" w:cs="Symbol"/>
    </w:rPr>
  </w:style>
  <w:style w:type="character" w:styleId="WW8Num265z0">
    <w:name w:val="WW8Num265z0"/>
    <w:qFormat/>
    <w:rPr>
      <w:rFonts w:ascii="Wingdings" w:hAnsi="Wingdings" w:cs="Wingdings"/>
      <w:sz w:val="16"/>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Wingdings" w:hAnsi="Wingdings" w:cs="Wingdings"/>
    </w:rPr>
  </w:style>
  <w:style w:type="character" w:styleId="WW8Num274z0">
    <w:name w:val="WW8Num274z0"/>
    <w:qFormat/>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Wingdings" w:hAnsi="Wingdings" w:cs="Wingdings"/>
      <w:sz w:val="16"/>
    </w:rPr>
  </w:style>
  <w:style w:type="character" w:styleId="WW8Num278z0">
    <w:name w:val="WW8Num278z0"/>
    <w:qFormat/>
    <w:rPr>
      <w:rFonts w:ascii="Times New Roman" w:hAnsi="Times New Roman" w:cs="Times New Roman"/>
    </w:rPr>
  </w:style>
  <w:style w:type="character" w:styleId="WW8Num279z0">
    <w:name w:val="WW8Num279z0"/>
    <w:qFormat/>
    <w:rPr>
      <w:rFonts w:ascii="Symbol" w:hAnsi="Symbol" w:cs="Symbol"/>
    </w:rPr>
  </w:style>
  <w:style w:type="character" w:styleId="WW8Num281z0">
    <w:name w:val="WW8Num281z0"/>
    <w:qFormat/>
    <w:rPr>
      <w:rFonts w:ascii="Symbol" w:hAnsi="Symbol" w:cs="Symbol"/>
      <w:color w:val="auto"/>
    </w:rPr>
  </w:style>
  <w:style w:type="character" w:styleId="WW8Num282z0">
    <w:name w:val="WW8Num282z0"/>
    <w:qFormat/>
    <w:rPr>
      <w:rFonts w:ascii="Wingdings" w:hAnsi="Wingdings" w:cs="Wingdings"/>
      <w:sz w:val="16"/>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90z0">
    <w:name w:val="WW8Num290z0"/>
    <w:qFormat/>
    <w:rPr>
      <w:rFonts w:ascii="Wingdings" w:hAnsi="Wingdings" w:cs="Wingdings"/>
      <w:sz w:val="16"/>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Wingdings" w:hAnsi="Wingdings" w:cs="Wingdings"/>
      <w:sz w:val="16"/>
    </w:rPr>
  </w:style>
  <w:style w:type="character" w:styleId="WW8Num295z0">
    <w:name w:val="WW8Num295z0"/>
    <w:qFormat/>
    <w:rPr>
      <w:rFonts w:ascii="Symbol" w:hAnsi="Symbol" w:cs="Symbol"/>
    </w:rPr>
  </w:style>
  <w:style w:type="character" w:styleId="WW8Num296z0">
    <w:name w:val="WW8Num296z0"/>
    <w:qFormat/>
    <w:rPr>
      <w:rFonts w:ascii="Wingdings" w:hAnsi="Wingdings" w:cs="Wingdings"/>
    </w:rPr>
  </w:style>
  <w:style w:type="character" w:styleId="WW8Num297z0">
    <w:name w:val="WW8Num297z0"/>
    <w:qFormat/>
    <w:rPr>
      <w:rFonts w:ascii="Times New Roman" w:hAnsi="Times New Roman" w:cs="Times New Roman"/>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Wingdings" w:hAnsi="Wingdings" w:cs="Wingdings"/>
      <w:sz w:val="16"/>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Times New Roman" w:hAnsi="Times New Roman" w:cs="Times New Roman"/>
    </w:rPr>
  </w:style>
  <w:style w:type="character" w:styleId="WW8Num313z0">
    <w:name w:val="WW8Num313z0"/>
    <w:qFormat/>
    <w:rPr>
      <w:rFonts w:ascii="Symbol" w:hAnsi="Symbol" w:cs="Symbol"/>
    </w:rPr>
  </w:style>
  <w:style w:type="character" w:styleId="WW8Num314z0">
    <w:name w:val="WW8Num314z0"/>
    <w:qFormat/>
    <w:rPr>
      <w:rFonts w:ascii="Times New Roman" w:hAnsi="Times New Roman" w:cs="Times New Roman"/>
    </w:rPr>
  </w:style>
  <w:style w:type="character" w:styleId="WW8Num315z0">
    <w:name w:val="WW8Num315z0"/>
    <w:qFormat/>
    <w:rPr>
      <w:rFonts w:ascii="Symbol" w:hAnsi="Symbol" w:cs="Symbol"/>
    </w:rPr>
  </w:style>
  <w:style w:type="character" w:styleId="WW8Num316z0">
    <w:name w:val="WW8Num316z0"/>
    <w:qFormat/>
    <w:rPr>
      <w:rFonts w:ascii="Wingdings" w:hAnsi="Wingdings" w:cs="Wingdings"/>
      <w:sz w:val="16"/>
    </w:rPr>
  </w:style>
  <w:style w:type="character" w:styleId="WW8Num318z0">
    <w:name w:val="WW8Num318z0"/>
    <w:qFormat/>
    <w:rPr>
      <w:rFonts w:ascii="Times New Roman" w:hAnsi="Times New Roman" w:cs="Times New Roman"/>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Times New Roman" w:hAnsi="Times New Roman" w:cs="Times New Roman"/>
    </w:rPr>
  </w:style>
  <w:style w:type="character" w:styleId="WW8Num322z0">
    <w:name w:val="WW8Num322z0"/>
    <w:qFormat/>
    <w:rPr>
      <w:rFonts w:ascii="Wingdings" w:hAnsi="Wingdings" w:cs="Wingdings"/>
      <w:sz w:val="16"/>
    </w:rPr>
  </w:style>
  <w:style w:type="character" w:styleId="WW8Num323z0">
    <w:name w:val="WW8Num323z0"/>
    <w:qFormat/>
    <w:rPr>
      <w:rFonts w:ascii="Wingdings" w:hAnsi="Wingdings" w:cs="Wingdings"/>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color w:val="auto"/>
    </w:rPr>
  </w:style>
  <w:style w:type="character" w:styleId="WW8Num328z0">
    <w:name w:val="WW8Num328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color w:val="auto"/>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Wingdings" w:hAnsi="Wingdings" w:cs="Wingdings"/>
      <w:sz w:val="16"/>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Times New Roman" w:hAnsi="Times New Roman" w:cs="Times New Roman"/>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Wingdings" w:hAnsi="Wingdings" w:cs="Wingdings"/>
      <w:sz w:val="16"/>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Times New Roman" w:hAnsi="Times New Roman" w:cs="Times New Roman"/>
    </w:rPr>
  </w:style>
  <w:style w:type="character" w:styleId="WW8Num346z0">
    <w:name w:val="WW8Num346z0"/>
    <w:qFormat/>
    <w:rPr>
      <w:rFonts w:ascii="Wingdings" w:hAnsi="Wingdings" w:cs="Wingdings"/>
      <w:sz w:val="16"/>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Times New Roman" w:hAnsi="Times New Roman" w:cs="Times New Roman"/>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3z0">
    <w:name w:val="WW8Num353z0"/>
    <w:qFormat/>
    <w:rPr>
      <w:rFonts w:ascii="Symbol" w:hAnsi="Symbol" w:cs="Symbol"/>
    </w:rPr>
  </w:style>
  <w:style w:type="character" w:styleId="WW8Num354z0">
    <w:name w:val="WW8Num354z0"/>
    <w:qFormat/>
    <w:rPr>
      <w:rFonts w:ascii="Times New Roman" w:hAnsi="Times New Roman" w:cs="Times New Roman"/>
      <w:sz w:val="16"/>
    </w:rPr>
  </w:style>
  <w:style w:type="character" w:styleId="WW8Num355z0">
    <w:name w:val="WW8Num355z0"/>
    <w:qFormat/>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Times New Roman" w:hAnsi="Times New Roman" w:cs="Times New Roman"/>
    </w:rPr>
  </w:style>
  <w:style w:type="character" w:styleId="WW8Num360z0">
    <w:name w:val="WW8Num360z0"/>
    <w:qFormat/>
    <w:rPr>
      <w:rFonts w:ascii="Times New Roman" w:hAnsi="Times New Roman" w:cs="Times New Roman"/>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Times New Roman" w:hAnsi="Times New Roman" w:cs="Times New Roman"/>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Times New Roman" w:hAnsi="Times New Roman" w:cs="Times New Roman"/>
    </w:rPr>
  </w:style>
  <w:style w:type="character" w:styleId="WW8Num370z0">
    <w:name w:val="WW8Num370z0"/>
    <w:qFormat/>
    <w:rPr>
      <w:rFonts w:ascii="Symbol" w:hAnsi="Symbol" w:cs="Symbol"/>
    </w:rPr>
  </w:style>
  <w:style w:type="character" w:styleId="WW8Num371z0">
    <w:name w:val="WW8Num371z0"/>
    <w:qFormat/>
    <w:rPr>
      <w:rFonts w:ascii="Times New Roman" w:hAnsi="Times New Roman" w:cs="Times New Roman"/>
    </w:rPr>
  </w:style>
  <w:style w:type="character" w:styleId="WW8Num372z0">
    <w:name w:val="WW8Num372z0"/>
    <w:qFormat/>
    <w:rPr>
      <w:rFonts w:ascii="Wingdings" w:hAnsi="Wingdings" w:cs="Wingdings"/>
      <w:sz w:val="16"/>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Wingdings" w:hAnsi="Wingdings" w:cs="Wingdings"/>
      <w:sz w:val="16"/>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Wingdings" w:hAnsi="Wingdings" w:cs="Wingdings"/>
    </w:rPr>
  </w:style>
  <w:style w:type="character" w:styleId="WW8Num382z0">
    <w:name w:val="WW8Num382z0"/>
    <w:qFormat/>
    <w:rPr>
      <w:rFonts w:ascii="Times New Roman" w:hAnsi="Times New Roman" w:cs="Times New Roman"/>
    </w:rPr>
  </w:style>
  <w:style w:type="character" w:styleId="WW8NumSt444z0">
    <w:name w:val="WW8NumSt444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rFonts w:ascii="CG Times" w:hAnsi="CG Times" w:cs="CG Times"/>
      <w:sz w:val="22"/>
    </w:rPr>
  </w:style>
  <w:style w:type="character" w:styleId="FootnoteCharacters">
    <w:name w:val="Footnote Characters"/>
    <w:basedOn w:val="DefaultParagraphFont"/>
    <w:qFormat/>
    <w:rPr>
      <w:vertAlign w:val="superscrip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pBdr>
        <w:top w:val="single" w:sz="4" w:space="1" w:color="000000"/>
        <w:left w:val="single" w:sz="4" w:space="4" w:color="000000"/>
        <w:bottom w:val="single" w:sz="4" w:space="1" w:color="000000"/>
        <w:right w:val="single" w:sz="4" w:space="4" w:color="000000"/>
      </w:pBdr>
      <w:jc w:val="center"/>
    </w:pPr>
    <w:rPr>
      <w:b/>
      <w:sz w:val="36"/>
    </w:rPr>
  </w:style>
  <w:style w:type="paragraph" w:styleId="BodyText">
    <w:name w:val="Body Text"/>
    <w:basedOn w:val="Normal"/>
    <w:pPr>
      <w:ind w:hanging="0" w:start="72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253" w:leader="none"/>
        <w:tab w:val="right" w:pos="8505" w:leader="none"/>
      </w:tabs>
    </w:pPr>
    <w:rPr>
      <w:sz w:val="18"/>
    </w:rPr>
  </w:style>
  <w:style w:type="paragraph" w:styleId="Footer">
    <w:name w:val="footer"/>
    <w:basedOn w:val="Normal"/>
    <w:pPr>
      <w:tabs>
        <w:tab w:val="clear" w:pos="720"/>
        <w:tab w:val="center" w:pos="4253" w:leader="none"/>
        <w:tab w:val="right" w:pos="8505" w:leader="none"/>
      </w:tabs>
    </w:pPr>
    <w:rPr>
      <w:sz w:val="16"/>
    </w:rPr>
  </w:style>
  <w:style w:type="paragraph" w:styleId="FootnoteText">
    <w:name w:val="footnote text"/>
    <w:basedOn w:val="Normal"/>
    <w:pPr>
      <w:tabs>
        <w:tab w:val="clear" w:pos="720"/>
        <w:tab w:val="left" w:pos="284" w:leader="none"/>
      </w:tabs>
      <w:ind w:hanging="284" w:start="284" w:end="0"/>
    </w:pPr>
    <w:rPr>
      <w:sz w:val="18"/>
    </w:rPr>
  </w:style>
  <w:style w:type="paragraph" w:styleId="EndnoteText">
    <w:name w:val="endnote text"/>
    <w:basedOn w:val="Normal"/>
    <w:pPr>
      <w:tabs>
        <w:tab w:val="clear" w:pos="720"/>
        <w:tab w:val="left" w:pos="284" w:leader="none"/>
      </w:tabs>
      <w:ind w:hanging="284" w:start="284" w:end="0"/>
    </w:pPr>
    <w:rPr>
      <w:sz w:val="18"/>
    </w:rPr>
  </w:style>
  <w:style w:type="paragraph" w:styleId="TOC1">
    <w:name w:val="toc 1"/>
    <w:basedOn w:val="Normal"/>
    <w:next w:val="Normal"/>
    <w:pPr>
      <w:tabs>
        <w:tab w:val="left" w:pos="720" w:leader="none"/>
        <w:tab w:val="right" w:pos="8505" w:leader="dot"/>
      </w:tabs>
      <w:spacing w:before="120" w:after="120"/>
      <w:ind w:hanging="720" w:start="720" w:end="567"/>
      <w:jc w:val="start"/>
    </w:pPr>
    <w:rPr>
      <w:caps/>
      <w:lang w:val="en-CA"/>
    </w:rPr>
  </w:style>
  <w:style w:type="paragraph" w:styleId="Titleofdoc">
    <w:name w:val="Titleofdoc"/>
    <w:basedOn w:val="Normal"/>
    <w:qFormat/>
    <w:pPr>
      <w:jc w:val="center"/>
    </w:pPr>
    <w:rPr>
      <w:b/>
      <w:sz w:val="28"/>
    </w:rPr>
  </w:style>
  <w:style w:type="paragraph" w:styleId="Titleoftrans">
    <w:name w:val="Titleoftrans"/>
    <w:basedOn w:val="Normal"/>
    <w:qFormat/>
    <w:pPr>
      <w:jc w:val="center"/>
    </w:pPr>
    <w:rPr>
      <w:b/>
    </w:rPr>
  </w:style>
  <w:style w:type="paragraph" w:styleId="TOC2">
    <w:name w:val="toc 2"/>
    <w:basedOn w:val="Normal"/>
    <w:next w:val="Normal"/>
    <w:pPr>
      <w:tabs>
        <w:tab w:val="left" w:pos="720" w:leader="none"/>
        <w:tab w:val="right" w:pos="8505" w:leader="dot"/>
      </w:tabs>
      <w:spacing w:before="0" w:after="120"/>
      <w:ind w:hanging="720" w:start="1440" w:end="567"/>
      <w:jc w:val="start"/>
    </w:pPr>
    <w:rPr>
      <w:lang w:val="en-CA"/>
    </w:rPr>
  </w:style>
  <w:style w:type="paragraph" w:styleId="MainHeading">
    <w:name w:val="Main Heading"/>
    <w:basedOn w:val="Normal"/>
    <w:next w:val="Normal"/>
    <w:qFormat/>
    <w:pPr/>
    <w:rPr>
      <w:b/>
    </w:rPr>
  </w:style>
  <w:style w:type="paragraph" w:styleId="SubHeading">
    <w:name w:val="Sub Heading"/>
    <w:basedOn w:val="Normal"/>
    <w:next w:val="Normal"/>
    <w:qFormat/>
    <w:pPr/>
    <w:rPr>
      <w:b/>
      <w:i/>
    </w:rPr>
  </w:style>
  <w:style w:type="paragraph" w:styleId="Logo">
    <w:name w:val="Logo"/>
    <w:basedOn w:val="Header"/>
    <w:qFormat/>
    <w:pPr>
      <w:ind w:hanging="0" w:start="-1134" w:end="-1134"/>
      <w:jc w:val="center"/>
    </w:pPr>
    <w:rPr>
      <w:rFonts w:ascii="Copperplate33bc" w:hAnsi="Copperplate33bc" w:cs="Copperplate33bc"/>
      <w:sz w:val="36"/>
    </w:rPr>
  </w:style>
  <w:style w:type="paragraph" w:styleId="BodyText2">
    <w:name w:val="Body Text 2"/>
    <w:basedOn w:val="Normal"/>
    <w:qFormat/>
    <w:pPr>
      <w:ind w:hanging="0" w:start="1440" w:end="0"/>
    </w:pPr>
    <w:rPr/>
  </w:style>
  <w:style w:type="paragraph" w:styleId="BodyText3">
    <w:name w:val="Body Text 3"/>
    <w:basedOn w:val="Normal"/>
    <w:qFormat/>
    <w:pPr>
      <w:ind w:hanging="0" w:start="2160" w:end="0"/>
    </w:pPr>
    <w:rPr/>
  </w:style>
  <w:style w:type="paragraph" w:styleId="BodyText4">
    <w:name w:val="Body Text 4"/>
    <w:basedOn w:val="Normal"/>
    <w:qFormat/>
    <w:pPr>
      <w:ind w:hanging="0" w:start="2880" w:end="0"/>
    </w:pPr>
    <w:rPr/>
  </w:style>
  <w:style w:type="paragraph" w:styleId="ListArabic2">
    <w:name w:val="List Arabic 2"/>
    <w:basedOn w:val="Normal"/>
    <w:qFormat/>
    <w:pPr>
      <w:numPr>
        <w:ilvl w:val="0"/>
        <w:numId w:val="22"/>
      </w:numPr>
    </w:pPr>
    <w:rPr/>
  </w:style>
  <w:style w:type="paragraph" w:styleId="ListAlpha1">
    <w:name w:val="List Alpha 1"/>
    <w:basedOn w:val="Normal"/>
    <w:qFormat/>
    <w:pPr/>
    <w:rPr/>
  </w:style>
  <w:style w:type="paragraph" w:styleId="ListAlpha2">
    <w:name w:val="List Alpha 2"/>
    <w:basedOn w:val="Normal"/>
    <w:qFormat/>
    <w:pPr/>
    <w:rPr/>
  </w:style>
  <w:style w:type="paragraph" w:styleId="ListAlpha3">
    <w:name w:val="List Alpha 3"/>
    <w:basedOn w:val="Normal"/>
    <w:qFormat/>
    <w:pPr/>
    <w:rPr/>
  </w:style>
  <w:style w:type="paragraph" w:styleId="ListRoman1">
    <w:name w:val="List Roman 1"/>
    <w:basedOn w:val="Normal"/>
    <w:qFormat/>
    <w:pPr>
      <w:numPr>
        <w:ilvl w:val="0"/>
        <w:numId w:val="3"/>
      </w:numPr>
    </w:pPr>
    <w:rPr/>
  </w:style>
  <w:style w:type="paragraph" w:styleId="ListRoman2">
    <w:name w:val="List Roman 2"/>
    <w:basedOn w:val="Normal"/>
    <w:qFormat/>
    <w:pPr>
      <w:numPr>
        <w:ilvl w:val="0"/>
        <w:numId w:val="3"/>
      </w:numPr>
    </w:pPr>
    <w:rPr/>
  </w:style>
  <w:style w:type="paragraph" w:styleId="ListRoman3">
    <w:name w:val="List Roman 3"/>
    <w:basedOn w:val="Normal"/>
    <w:qFormat/>
    <w:pPr>
      <w:numPr>
        <w:ilvl w:val="0"/>
        <w:numId w:val="3"/>
      </w:numPr>
    </w:pPr>
    <w:rPr/>
  </w:style>
  <w:style w:type="paragraph" w:styleId="ListArabic4">
    <w:name w:val="List Arabic 4"/>
    <w:basedOn w:val="Normal"/>
    <w:qFormat/>
    <w:pPr>
      <w:numPr>
        <w:ilvl w:val="0"/>
        <w:numId w:val="22"/>
      </w:numPr>
    </w:pPr>
    <w:rPr/>
  </w:style>
  <w:style w:type="paragraph" w:styleId="ListArabic1">
    <w:name w:val="List Arabic 1"/>
    <w:basedOn w:val="Normal"/>
    <w:qFormat/>
    <w:pPr>
      <w:numPr>
        <w:ilvl w:val="0"/>
        <w:numId w:val="22"/>
      </w:numPr>
    </w:pPr>
    <w:rPr/>
  </w:style>
  <w:style w:type="paragraph" w:styleId="ListArabic3">
    <w:name w:val="List Arabic 3"/>
    <w:basedOn w:val="Normal"/>
    <w:qFormat/>
    <w:pPr>
      <w:numPr>
        <w:ilvl w:val="0"/>
        <w:numId w:val="22"/>
      </w:numPr>
    </w:pPr>
    <w:rPr/>
  </w:style>
  <w:style w:type="paragraph" w:styleId="RightTab">
    <w:name w:val="Right Tab"/>
    <w:basedOn w:val="Normal"/>
    <w:next w:val="Normal"/>
    <w:qFormat/>
    <w:pPr>
      <w:tabs>
        <w:tab w:val="clear" w:pos="720"/>
        <w:tab w:val="right" w:pos="8505" w:leader="none"/>
      </w:tabs>
    </w:pPr>
    <w:rPr/>
  </w:style>
  <w:style w:type="paragraph" w:styleId="NotesArabic">
    <w:name w:val="Notes Arabic"/>
    <w:basedOn w:val="Normal"/>
    <w:qFormat/>
    <w:pPr>
      <w:numPr>
        <w:ilvl w:val="0"/>
        <w:numId w:val="7"/>
      </w:numPr>
      <w:ind w:hanging="720" w:start="0" w:end="0"/>
    </w:pPr>
    <w:rPr/>
  </w:style>
  <w:style w:type="paragraph" w:styleId="NotesAlpha">
    <w:name w:val="Notes Alpha"/>
    <w:basedOn w:val="Normal"/>
    <w:qFormat/>
    <w:pPr>
      <w:numPr>
        <w:ilvl w:val="0"/>
        <w:numId w:val="7"/>
      </w:numPr>
    </w:pPr>
    <w:rPr/>
  </w:style>
  <w:style w:type="paragraph" w:styleId="NotesRoman">
    <w:name w:val="Notes Roman"/>
    <w:basedOn w:val="Normal"/>
    <w:qFormat/>
    <w:pPr>
      <w:numPr>
        <w:ilvl w:val="0"/>
        <w:numId w:val="7"/>
      </w:numPr>
      <w:tabs>
        <w:tab w:val="left" w:pos="720" w:leader="none"/>
      </w:tabs>
      <w:ind w:hanging="0" w:start="720" w:end="0"/>
    </w:pPr>
    <w:rPr/>
  </w:style>
  <w:style w:type="paragraph" w:styleId="ListALPHACAPS1">
    <w:name w:val="List ALPHA CAPS 1"/>
    <w:basedOn w:val="Normal"/>
    <w:qFormat/>
    <w:pPr>
      <w:numPr>
        <w:ilvl w:val="0"/>
        <w:numId w:val="2"/>
      </w:numPr>
    </w:pPr>
    <w:rPr/>
  </w:style>
  <w:style w:type="paragraph" w:styleId="ListALPHACAPS2">
    <w:name w:val="List ALPHA CAPS 2"/>
    <w:basedOn w:val="Normal"/>
    <w:qFormat/>
    <w:pPr>
      <w:numPr>
        <w:ilvl w:val="0"/>
        <w:numId w:val="2"/>
      </w:numPr>
    </w:pPr>
    <w:rPr/>
  </w:style>
  <w:style w:type="paragraph" w:styleId="ListALPHACAPS3">
    <w:name w:val="List ALPHA CAPS 3"/>
    <w:basedOn w:val="Normal"/>
    <w:qFormat/>
    <w:pPr>
      <w:numPr>
        <w:ilvl w:val="0"/>
        <w:numId w:val="2"/>
      </w:numPr>
    </w:pPr>
    <w:rPr/>
  </w:style>
  <w:style w:type="paragraph" w:styleId="ListLegal1">
    <w:name w:val="List Legal 1"/>
    <w:basedOn w:val="Normal"/>
    <w:qFormat/>
    <w:pPr>
      <w:numPr>
        <w:ilvl w:val="0"/>
        <w:numId w:val="15"/>
      </w:numPr>
    </w:pPr>
    <w:rPr/>
  </w:style>
  <w:style w:type="paragraph" w:styleId="ListLegal2">
    <w:name w:val="List Legal 2"/>
    <w:basedOn w:val="Normal"/>
    <w:qFormat/>
    <w:pPr>
      <w:numPr>
        <w:ilvl w:val="0"/>
        <w:numId w:val="15"/>
      </w:numPr>
    </w:pPr>
    <w:rPr/>
  </w:style>
  <w:style w:type="paragraph" w:styleId="ListLegal3">
    <w:name w:val="List Legal 3"/>
    <w:basedOn w:val="Normal"/>
    <w:qFormat/>
    <w:pPr>
      <w:numPr>
        <w:ilvl w:val="0"/>
        <w:numId w:val="15"/>
      </w:numPr>
    </w:pPr>
    <w:rPr/>
  </w:style>
  <w:style w:type="paragraph" w:styleId="Schedule">
    <w:name w:val="Schedule"/>
    <w:basedOn w:val="Normal"/>
    <w:next w:val="Normal"/>
    <w:qFormat/>
    <w:pPr>
      <w:jc w:val="center"/>
    </w:pPr>
    <w:rPr>
      <w:b/>
    </w:rPr>
  </w:style>
  <w:style w:type="paragraph" w:styleId="PartHeadings">
    <w:name w:val="Part Headings"/>
    <w:basedOn w:val="Normal"/>
    <w:next w:val="Normal"/>
    <w:qFormat/>
    <w:pPr>
      <w:numPr>
        <w:ilvl w:val="0"/>
        <w:numId w:val="4"/>
      </w:numPr>
      <w:suppressAutoHyphens w:val="true"/>
      <w:spacing w:lineRule="auto" w:line="312" w:before="0" w:after="300"/>
      <w:jc w:val="center"/>
      <w:outlineLvl w:val="2"/>
    </w:pPr>
    <w:rPr>
      <w:b/>
      <w:sz w:val="21"/>
    </w:rPr>
  </w:style>
  <w:style w:type="paragraph" w:styleId="bullet">
    <w:name w:val="bullet"/>
    <w:basedOn w:val="Normal"/>
    <w:qFormat/>
    <w:pPr>
      <w:numPr>
        <w:ilvl w:val="0"/>
        <w:numId w:val="17"/>
      </w:numPr>
      <w:spacing w:before="0" w:after="200"/>
    </w:pPr>
    <w:rPr/>
  </w:style>
  <w:style w:type="paragraph" w:styleId="ListBullet">
    <w:name w:val="List Bullet"/>
    <w:basedOn w:val="Normal"/>
    <w:qFormat/>
    <w:pPr>
      <w:numPr>
        <w:ilvl w:val="0"/>
        <w:numId w:val="25"/>
      </w:numPr>
      <w:tabs>
        <w:tab w:val="clear" w:pos="720"/>
        <w:tab w:val="left" w:pos="1608" w:leader="none"/>
      </w:tabs>
      <w:spacing w:before="0" w:after="200"/>
      <w:ind w:hanging="0" w:start="1608" w:end="0"/>
    </w:pPr>
    <w:rPr/>
  </w:style>
  <w:style w:type="paragraph" w:styleId="squarebullet">
    <w:name w:val="square bullet"/>
    <w:basedOn w:val="Normal"/>
    <w:qFormat/>
    <w:pPr>
      <w:numPr>
        <w:ilvl w:val="0"/>
        <w:numId w:val="13"/>
      </w:numPr>
      <w:spacing w:before="0" w:after="200"/>
    </w:pPr>
    <w:rPr/>
  </w:style>
  <w:style w:type="paragraph" w:styleId="COVERPAGE">
    <w:name w:val="COVERPAGE"/>
    <w:basedOn w:val="Normal"/>
    <w:qFormat/>
    <w:pPr>
      <w:spacing w:before="0" w:after="0"/>
      <w:jc w:val="start"/>
    </w:pPr>
    <w:rPr/>
  </w:style>
  <w:style w:type="paragraph" w:styleId="BodyTextIndent">
    <w:name w:val="Body Text Indent"/>
    <w:basedOn w:val="Normal"/>
    <w:pPr>
      <w:ind w:hanging="0" w:start="1248" w:end="0"/>
    </w:pPr>
    <w:rPr/>
  </w:style>
  <w:style w:type="paragraph" w:styleId="TOC3">
    <w:name w:val="toc 3"/>
    <w:basedOn w:val="Normal"/>
    <w:next w:val="Normal"/>
    <w:pPr>
      <w:ind w:hanging="0" w:start="440" w:end="0"/>
    </w:pPr>
    <w:rPr/>
  </w:style>
  <w:style w:type="paragraph" w:styleId="TOC4">
    <w:name w:val="toc 4"/>
    <w:basedOn w:val="Normal"/>
    <w:next w:val="Normal"/>
    <w:pPr>
      <w:ind w:hanging="0" w:start="660" w:end="0"/>
    </w:pPr>
    <w:rPr/>
  </w:style>
  <w:style w:type="paragraph" w:styleId="TOC5">
    <w:name w:val="toc 5"/>
    <w:basedOn w:val="Normal"/>
    <w:next w:val="Normal"/>
    <w:pPr>
      <w:ind w:hanging="0" w:start="880" w:end="0"/>
    </w:pPr>
    <w:rPr/>
  </w:style>
  <w:style w:type="paragraph" w:styleId="TOC6">
    <w:name w:val="toc 6"/>
    <w:basedOn w:val="Normal"/>
    <w:next w:val="Normal"/>
    <w:pPr>
      <w:ind w:hanging="0" w:start="1100" w:end="0"/>
    </w:pPr>
    <w:rPr/>
  </w:style>
  <w:style w:type="paragraph" w:styleId="TOC7">
    <w:name w:val="toc 7"/>
    <w:basedOn w:val="Normal"/>
    <w:next w:val="Normal"/>
    <w:pPr>
      <w:ind w:hanging="0" w:start="1320" w:end="0"/>
    </w:pPr>
    <w:rPr/>
  </w:style>
  <w:style w:type="paragraph" w:styleId="TOC8">
    <w:name w:val="toc 8"/>
    <w:basedOn w:val="Normal"/>
    <w:next w:val="Normal"/>
    <w:pPr>
      <w:ind w:hanging="0" w:start="1540" w:end="0"/>
    </w:pPr>
    <w:rPr/>
  </w:style>
  <w:style w:type="paragraph" w:styleId="TOC9">
    <w:name w:val="toc 9"/>
    <w:basedOn w:val="Normal"/>
    <w:next w:val="Normal"/>
    <w:pPr>
      <w:ind w:hanging="0" w:start="17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footer" Target="footer10.xml"/><Relationship Id="rId23" Type="http://schemas.openxmlformats.org/officeDocument/2006/relationships/footer" Target="footer11.xml"/><Relationship Id="rId24" Type="http://schemas.openxmlformats.org/officeDocument/2006/relationships/footnotes" Target="footnotes.xml"/><Relationship Id="rId25" Type="http://schemas.openxmlformats.org/officeDocument/2006/relationships/numbering" Target="numbering.xml"/><Relationship Id="rId26" Type="http://schemas.openxmlformats.org/officeDocument/2006/relationships/fontTable" Target="fontTable.xml"/><Relationship Id="rId27" Type="http://schemas.openxmlformats.org/officeDocument/2006/relationships/settings" Target="settings.xml"/><Relationship Id="rId2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Agreement.dot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1999-12-21T12:57:00Z</dcterms:created>
  <dc:creator>714507</dc:creator>
  <dc:description/>
  <dc:language>en-CA</dc:language>
  <cp:lastModifiedBy>Buckingham</cp:lastModifiedBy>
  <cp:lastPrinted>1999-12-20T15:17:00Z</cp:lastPrinted>
  <dcterms:modified xsi:type="dcterms:W3CDTF">1999-12-21T12:57:00Z</dcterms:modified>
  <cp:revision>2</cp:revision>
  <dc:subject/>
  <dc:title>__________________________________</dc:title>
</cp:coreProperties>
</file>