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lang w:eastAsia="en-US"/>
        </w:rPr>
      </w:pPr>
      <w:r>
        <w:rPr>
          <w:color w:val="000000"/>
          <w:sz w:val="48"/>
          <w:u w:val="single"/>
          <w:lang w:eastAsia="en-US"/>
        </w:rPr>
        <w:t>TrizecHahn</w:t>
      </w:r>
      <w:r>
        <w:rPr>
          <w:b/>
          <w:color w:val="000000"/>
          <w:sz w:val="24"/>
          <w:lang w:eastAsia="en-US"/>
        </w:rPr>
        <w:t xml:space="preserve">                                                       </w:t>
      </w:r>
      <w:r>
        <w:rPr>
          <w:b/>
          <w:color w:val="000000"/>
          <w:lang w:eastAsia="en-US"/>
        </w:rPr>
        <w:t>TrizecHahn Office Properties Inc.</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color w:val="000000"/>
          <w:sz w:val="22"/>
          <w:lang w:eastAsia="en-US"/>
        </w:rPr>
        <w:t>OFFICE PROPERTIES</w:t>
      </w:r>
      <w:r>
        <w:rPr>
          <w:color w:val="000000"/>
          <w:sz w:val="24"/>
          <w:lang w:eastAsia="en-US"/>
        </w:rPr>
        <w:t xml:space="preserve">                                                     </w:t>
        <w:tab/>
      </w:r>
      <w:r>
        <w:rPr>
          <w:color w:val="000000"/>
          <w:lang w:eastAsia="en-US"/>
        </w:rPr>
        <w:t>1200 Smith Street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lang w:eastAsia="en-US"/>
        </w:rPr>
      </w:pPr>
      <w:r>
        <w:rPr>
          <w:color w:val="000000"/>
          <w:lang w:eastAsia="en-US"/>
        </w:rPr>
        <w:tab/>
        <w:tab/>
        <w:tab/>
        <w:tab/>
        <w:tab/>
        <w:tab/>
        <w:tab/>
        <w:tab/>
        <w:t>Suite 2600</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lang w:eastAsia="en-US"/>
        </w:rPr>
      </w:pPr>
      <w:r>
        <w:rPr>
          <w:color w:val="000000"/>
          <w:lang w:eastAsia="en-US"/>
        </w:rPr>
        <w:tab/>
        <w:tab/>
        <w:tab/>
        <w:tab/>
        <w:tab/>
        <w:tab/>
        <w:tab/>
        <w:tab/>
        <w:t>Houston, Texas  77002</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lang w:eastAsia="en-US"/>
        </w:rPr>
      </w:pPr>
      <w:r>
        <w:rPr>
          <w:color w:val="000000"/>
          <w:lang w:eastAsia="en-US"/>
        </w:rPr>
        <w:tab/>
        <w:tab/>
        <w:tab/>
        <w:tab/>
        <w:tab/>
        <w:tab/>
        <w:tab/>
        <w:tab/>
        <w:t>Tel   713 651-1515</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lang w:eastAsia="en-US"/>
        </w:rPr>
      </w:pPr>
      <w:r>
        <w:rPr>
          <w:color w:val="000000"/>
          <w:lang w:eastAsia="en-US"/>
        </w:rPr>
        <w:tab/>
        <w:tab/>
        <w:tab/>
        <w:tab/>
        <w:tab/>
        <w:tab/>
        <w:tab/>
        <w:tab/>
        <w:t>Fax   713 951-0209</w:t>
      </w:r>
    </w:p>
    <w:p>
      <w:pPr>
        <w:pStyle w:val="Normal"/>
        <w:rPr>
          <w:color w:val="000000"/>
          <w:lang w:eastAsia="en-US"/>
        </w:rPr>
      </w:pPr>
      <w:r>
        <w:rPr>
          <w:color w:val="000000"/>
          <w:lang w:eastAsia="en-US"/>
        </w:rPr>
      </w:r>
    </w:p>
    <w:tbl>
      <w:tblPr>
        <w:tblW w:w="9360" w:type="dxa"/>
        <w:jc w:val="center"/>
        <w:tblInd w:w="0" w:type="dxa"/>
        <w:tblLayout w:type="fixed"/>
        <w:tblCellMar>
          <w:top w:w="0" w:type="dxa"/>
          <w:start w:w="120" w:type="dxa"/>
          <w:bottom w:w="0" w:type="dxa"/>
          <w:end w:w="120" w:type="dxa"/>
        </w:tblCellMar>
      </w:tblPr>
      <w:tblGrid>
        <w:gridCol w:w="9360"/>
      </w:tblGrid>
      <w:tr>
        <w:trPr/>
        <w:tc>
          <w:tcPr>
            <w:tcW w:w="9360"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720" w:leader="none"/>
              </w:tabs>
              <w:suppressAutoHyphens w:val="true"/>
              <w:spacing w:before="90" w:after="0"/>
              <w:jc w:val="center"/>
              <w:rPr>
                <w:b/>
                <w:spacing w:val="-5"/>
                <w:sz w:val="44"/>
              </w:rPr>
            </w:pPr>
            <w:r>
              <w:rPr>
                <w:b/>
                <w:spacing w:val="-5"/>
                <w:sz w:val="44"/>
              </w:rPr>
              <w:t>TWO ALLEN CENTER</w:t>
            </w:r>
          </w:p>
          <w:p>
            <w:pPr>
              <w:pStyle w:val="Normal"/>
              <w:tabs>
                <w:tab w:val="clear" w:pos="720"/>
                <w:tab w:val="center" w:pos="4560" w:leader="none"/>
              </w:tabs>
              <w:suppressAutoHyphens w:val="true"/>
              <w:rPr>
                <w:b/>
                <w:spacing w:val="-5"/>
                <w:sz w:val="40"/>
              </w:rPr>
            </w:pPr>
            <w:r>
              <w:rPr>
                <w:b/>
                <w:spacing w:val="-5"/>
                <w:sz w:val="44"/>
              </w:rPr>
              <w:tab/>
              <w:t>TENANT NOTICE</w:t>
            </w:r>
          </w:p>
        </w:tc>
      </w:tr>
    </w:tbl>
    <w:p>
      <w:pPr>
        <w:pStyle w:val="Normal"/>
        <w:rPr/>
      </w:pPr>
      <w:r>
        <w:rPr/>
      </w:r>
    </w:p>
    <w:p>
      <w:pPr>
        <w:pStyle w:val="Heading1"/>
        <w:ind w:hanging="0" w:start="0"/>
        <w:jc w:val="center"/>
        <w:rPr>
          <w:b/>
          <w:sz w:val="32"/>
          <w:u w:val="none"/>
        </w:rPr>
      </w:pPr>
      <w:r>
        <w:rPr>
          <w:b/>
          <w:sz w:val="32"/>
          <w:u w:val="none"/>
        </w:rPr>
        <w:t>BUILDING POWER SHUTDOWN</w:t>
      </w:r>
    </w:p>
    <w:p>
      <w:pPr>
        <w:pStyle w:val="Normal"/>
        <w:rPr>
          <w:b/>
          <w:sz w:val="16"/>
          <w:u w:val="none"/>
        </w:rPr>
      </w:pPr>
      <w:r>
        <w:rPr>
          <w:b/>
          <w:sz w:val="16"/>
          <w:u w:val="none"/>
        </w:rPr>
      </w:r>
    </w:p>
    <w:p>
      <w:pPr>
        <w:pStyle w:val="Normal"/>
        <w:jc w:val="center"/>
        <w:rPr>
          <w:b/>
          <w:sz w:val="32"/>
          <w:u w:val="single"/>
        </w:rPr>
      </w:pPr>
      <w:r>
        <w:rPr>
          <w:b/>
          <w:sz w:val="32"/>
          <w:u w:val="single"/>
        </w:rPr>
        <w:t>Friday, February 23, 2001 – 6:00 p.m.</w:t>
      </w:r>
    </w:p>
    <w:p>
      <w:pPr>
        <w:pStyle w:val="Normal"/>
        <w:rPr>
          <w:b/>
          <w:sz w:val="22"/>
          <w:u w:val="single"/>
        </w:rPr>
      </w:pPr>
      <w:r>
        <w:rPr>
          <w:b/>
          <w:sz w:val="22"/>
          <w:u w:val="single"/>
        </w:rPr>
      </w:r>
    </w:p>
    <w:p>
      <w:pPr>
        <w:pStyle w:val="BodyText"/>
        <w:rPr>
          <w:sz w:val="22"/>
        </w:rPr>
      </w:pPr>
      <w:r>
        <w:rPr>
          <w:spacing w:val="-2"/>
          <w:sz w:val="22"/>
        </w:rPr>
        <w:t>A building electrical shutdown has been scheduled to perform preventive maintenance on the main switchgear and any necessary repairs to electrical panels, bus ducts, equipment, etc.</w:t>
      </w:r>
    </w:p>
    <w:p>
      <w:pPr>
        <w:pStyle w:val="BodyText"/>
        <w:rPr>
          <w:sz w:val="20"/>
        </w:rPr>
      </w:pPr>
      <w:r>
        <w:rPr>
          <w:sz w:val="20"/>
        </w:rPr>
      </w:r>
    </w:p>
    <w:p>
      <w:pPr>
        <w:pStyle w:val="BodyText"/>
        <w:jc w:val="center"/>
        <w:rPr>
          <w:sz w:val="32"/>
        </w:rPr>
      </w:pPr>
      <w:r>
        <w:rPr>
          <w:b/>
          <w:sz w:val="32"/>
        </w:rPr>
        <w:t>CHILLED WATER SHUTDOWN</w:t>
      </w:r>
    </w:p>
    <w:p>
      <w:pPr>
        <w:pStyle w:val="BodyText"/>
        <w:rPr>
          <w:sz w:val="22"/>
        </w:rPr>
      </w:pPr>
      <w:r>
        <w:rPr>
          <w:sz w:val="22"/>
        </w:rPr>
      </w:r>
    </w:p>
    <w:p>
      <w:pPr>
        <w:pStyle w:val="BodyText"/>
        <w:rPr>
          <w:sz w:val="22"/>
        </w:rPr>
      </w:pPr>
      <w:r>
        <w:rPr>
          <w:sz w:val="22"/>
        </w:rPr>
        <w:t>In addition to the electrical shutdown for the Two Allen Center building, a chilled water shutdown for the Allen Center complex will also take place during this time.  This shutdown is required to repair a leak in the chilled water distribution system.</w:t>
      </w:r>
    </w:p>
    <w:p>
      <w:pPr>
        <w:pStyle w:val="BodyText"/>
        <w:rPr>
          <w:sz w:val="22"/>
        </w:rPr>
      </w:pPr>
      <w:r>
        <w:rPr>
          <w:sz w:val="22"/>
        </w:rPr>
      </w:r>
    </w:p>
    <w:p>
      <w:pPr>
        <w:pStyle w:val="BodyText"/>
        <w:rPr>
          <w:b/>
          <w:sz w:val="22"/>
          <w:u w:val="single"/>
        </w:rPr>
      </w:pPr>
      <w:r>
        <w:rPr>
          <w:b/>
          <w:sz w:val="22"/>
          <w:u w:val="single"/>
        </w:rPr>
        <w:t xml:space="preserve">Both of these shutdowns, power and chilled water, will begin at approximately 6:00 p.m. and will last for approximately </w:t>
      </w:r>
      <w:r>
        <w:rPr>
          <w:b/>
          <w:color w:val="FF0000"/>
          <w:sz w:val="22"/>
          <w:u w:val="single"/>
        </w:rPr>
        <w:t>10-12 hours.</w:t>
      </w:r>
    </w:p>
    <w:p>
      <w:pPr>
        <w:pStyle w:val="BodyText"/>
        <w:rPr>
          <w:b/>
          <w:sz w:val="22"/>
          <w:u w:val="single"/>
        </w:rPr>
      </w:pPr>
      <w:r>
        <w:rPr>
          <w:b/>
          <w:sz w:val="22"/>
          <w:u w:val="single"/>
        </w:rPr>
      </w:r>
    </w:p>
    <w:p>
      <w:pPr>
        <w:pStyle w:val="Normal"/>
        <w:jc w:val="both"/>
        <w:rPr/>
      </w:pPr>
      <w:r>
        <w:rPr>
          <w:sz w:val="22"/>
        </w:rPr>
        <w:t>Please remember these shutdowns will include all ELECTRICAL, HVAC and DOMESTIC WATER SYSTEMS in the building.  You may wish to take appropriate steps to prepare your refrigerator units, computer systems, word processors, phone systems, security systems, communication systems or any other sensitive electronic equipment prior to 6:00 p.m., Friday, February 23</w:t>
      </w:r>
      <w:r>
        <w:rPr>
          <w:sz w:val="22"/>
          <w:vertAlign w:val="superscript"/>
        </w:rPr>
        <w:t>rd</w:t>
      </w:r>
      <w:r>
        <w:rPr>
          <w:sz w:val="22"/>
        </w:rPr>
        <w:t>.   Please contact the Building Office by noon on Friday, February 23</w:t>
      </w:r>
      <w:r>
        <w:rPr>
          <w:sz w:val="22"/>
          <w:vertAlign w:val="superscript"/>
        </w:rPr>
        <w:t>rd</w:t>
      </w:r>
      <w:r>
        <w:rPr>
          <w:sz w:val="22"/>
        </w:rPr>
        <w:t xml:space="preserve"> if you have employees or outside companies coming in before or after the shutdown to take care of special equipment.</w:t>
      </w:r>
    </w:p>
    <w:p>
      <w:pPr>
        <w:pStyle w:val="Normal"/>
        <w:jc w:val="both"/>
        <w:rPr>
          <w:sz w:val="22"/>
        </w:rPr>
      </w:pPr>
      <w:r>
        <w:rPr>
          <w:sz w:val="22"/>
        </w:rPr>
      </w:r>
    </w:p>
    <w:p>
      <w:pPr>
        <w:pStyle w:val="Normal"/>
        <w:jc w:val="both"/>
        <w:rPr/>
      </w:pPr>
      <w:r>
        <w:rPr>
          <w:b/>
          <w:sz w:val="22"/>
        </w:rPr>
        <w:t>Please notify all your employees that the building will be closed starting at 6:00 p.m. on that Friday, February 23</w:t>
      </w:r>
      <w:r>
        <w:rPr>
          <w:b/>
          <w:sz w:val="22"/>
          <w:vertAlign w:val="superscript"/>
        </w:rPr>
        <w:t>rd</w:t>
      </w:r>
      <w:r>
        <w:rPr>
          <w:b/>
          <w:sz w:val="22"/>
        </w:rPr>
        <w:t xml:space="preserve">.  </w:t>
      </w:r>
      <w:r>
        <w:rPr>
          <w:sz w:val="22"/>
        </w:rPr>
        <w:t>Access to the building will not be allowed during the power shutdown.  If you or any of your employees plan to come into work on Saturday morning prior to noon, please call Security at (713) 651-1515 to verify the building power has been restored.</w:t>
      </w:r>
    </w:p>
    <w:p>
      <w:pPr>
        <w:pStyle w:val="Normal"/>
        <w:jc w:val="both"/>
        <w:rPr>
          <w:sz w:val="22"/>
        </w:rPr>
      </w:pPr>
      <w:r>
        <w:rPr>
          <w:sz w:val="22"/>
        </w:rPr>
      </w:r>
    </w:p>
    <w:p>
      <w:pPr>
        <w:pStyle w:val="Normal"/>
        <w:jc w:val="both"/>
        <w:rPr/>
      </w:pPr>
      <w:r>
        <w:rPr>
          <w:sz w:val="22"/>
        </w:rPr>
        <w:t>In addition, due the power shutdown the Friday night cleaning will be postponed until Sunday evening, February 25</w:t>
      </w:r>
      <w:r>
        <w:rPr>
          <w:sz w:val="22"/>
          <w:vertAlign w:val="superscript"/>
        </w:rPr>
        <w:t>th</w:t>
      </w:r>
      <w:r>
        <w:rPr>
          <w:sz w:val="22"/>
        </w:rPr>
        <w:t>.</w:t>
      </w:r>
    </w:p>
    <w:p>
      <w:pPr>
        <w:pStyle w:val="Heading3"/>
        <w:ind w:hanging="0" w:start="0"/>
        <w:rPr>
          <w:sz w:val="22"/>
        </w:rPr>
      </w:pPr>
      <w:r>
        <w:rPr/>
        <w:t>BASEMENT LOOP ROAD ENTRANCE RAMP CLOSURE</w:t>
      </w:r>
    </w:p>
    <w:p>
      <w:pPr>
        <w:pStyle w:val="Normal"/>
        <w:jc w:val="both"/>
        <w:rPr>
          <w:sz w:val="22"/>
        </w:rPr>
      </w:pPr>
      <w:r>
        <w:rPr>
          <w:sz w:val="22"/>
        </w:rPr>
      </w:r>
    </w:p>
    <w:p>
      <w:pPr>
        <w:pStyle w:val="Normal"/>
        <w:jc w:val="both"/>
        <w:rPr/>
      </w:pPr>
      <w:r>
        <w:rPr>
          <w:sz w:val="22"/>
        </w:rPr>
        <w:t xml:space="preserve">One last project has also been scheduled to coincide with these shutdowns.  </w:t>
      </w:r>
      <w:r>
        <w:rPr>
          <w:b/>
          <w:sz w:val="22"/>
          <w:u w:val="single"/>
        </w:rPr>
        <w:t xml:space="preserve">The entrance ramp to the </w:t>
      </w:r>
      <w:r>
        <w:rPr>
          <w:b/>
          <w:spacing w:val="-3"/>
          <w:sz w:val="22"/>
          <w:u w:val="single"/>
        </w:rPr>
        <w:t>underground loop road off of Bagby will be closed from 4:30 a.m. to approximately 9:00 a.m. on Saturday, February 24</w:t>
      </w:r>
      <w:r>
        <w:rPr>
          <w:b/>
          <w:spacing w:val="-3"/>
          <w:sz w:val="22"/>
          <w:u w:val="single"/>
          <w:vertAlign w:val="superscript"/>
        </w:rPr>
        <w:t>th</w:t>
      </w:r>
      <w:r>
        <w:rPr>
          <w:b/>
          <w:spacing w:val="-3"/>
          <w:sz w:val="22"/>
          <w:u w:val="single"/>
        </w:rPr>
        <w:t>.</w:t>
      </w:r>
      <w:r>
        <w:rPr>
          <w:spacing w:val="-3"/>
          <w:sz w:val="22"/>
        </w:rPr>
        <w:t xml:space="preserve">  Overhead directional signage will be installed at the bottom of this entrance ramp.  This will only affect basement parkers and the loading dock.</w:t>
      </w:r>
    </w:p>
    <w:p>
      <w:pPr>
        <w:pStyle w:val="Normal"/>
        <w:tabs>
          <w:tab w:val="clear" w:pos="720"/>
          <w:tab w:val="left" w:pos="-720" w:leader="none"/>
        </w:tabs>
        <w:suppressAutoHyphens w:val="true"/>
        <w:jc w:val="both"/>
        <w:rPr>
          <w:spacing w:val="-3"/>
          <w:sz w:val="22"/>
        </w:rPr>
      </w:pPr>
      <w:r>
        <w:rPr>
          <w:spacing w:val="-3"/>
          <w:sz w:val="22"/>
        </w:rPr>
      </w:r>
    </w:p>
    <w:p>
      <w:pPr>
        <w:pStyle w:val="Normal"/>
        <w:jc w:val="both"/>
        <w:rPr>
          <w:sz w:val="22"/>
        </w:rPr>
      </w:pPr>
      <w:r>
        <w:rPr>
          <w:sz w:val="22"/>
        </w:rPr>
        <w:t>Thank you for your continued cooperation.  If you have any questions regarding these shutdowns, please don’t hesitate to contact the Building Office at (713) 655-1515.</w:t>
      </w:r>
    </w:p>
    <w:p>
      <w:pPr>
        <w:pStyle w:val="Normal"/>
        <w:tabs>
          <w:tab w:val="clear" w:pos="720"/>
          <w:tab w:val="left" w:pos="-720" w:leader="none"/>
        </w:tabs>
        <w:suppressAutoHyphens w:val="true"/>
        <w:jc w:val="both"/>
        <w:rPr>
          <w:spacing w:val="-3"/>
          <w:sz w:val="22"/>
        </w:rPr>
      </w:pPr>
      <w:r>
        <w:rPr>
          <w:spacing w:val="-3"/>
          <w:sz w:val="22"/>
        </w:rPr>
      </w:r>
    </w:p>
    <w:p>
      <w:pPr>
        <w:pStyle w:val="Normal"/>
        <w:jc w:val="both"/>
        <w:rPr/>
      </w:pPr>
      <w:r>
        <w:rPr>
          <w:sz w:val="22"/>
        </w:rPr>
        <w:t>TRIZECHAHN OFFICE PROPERTIES</w:t>
      </w:r>
      <w:r>
        <w:rPr>
          <w:sz w:val="24"/>
        </w:rPr>
        <w:t xml:space="preserve"> </w:t>
      </w:r>
      <w:r>
        <w:rPr>
          <w:sz w:val="22"/>
        </w:rPr>
        <w:t>INC.</w:t>
      </w:r>
    </w:p>
    <w:p>
      <w:pPr>
        <w:pStyle w:val="Normal"/>
        <w:jc w:val="both"/>
        <w:rPr>
          <w:sz w:val="22"/>
        </w:rPr>
      </w:pPr>
      <w:r>
        <w:rPr>
          <w:sz w:val="22"/>
        </w:rPr>
      </w:r>
    </w:p>
    <w:p>
      <w:pPr>
        <w:pStyle w:val="Normal"/>
        <w:jc w:val="both"/>
        <w:rPr>
          <w:sz w:val="22"/>
        </w:rPr>
      </w:pPr>
      <w:r>
        <w:rPr>
          <w:sz w:val="22"/>
        </w:rPr>
        <w:t>January 31, 2001</w:t>
      </w:r>
    </w:p>
    <w:sectPr>
      <w:type w:val="nextPage"/>
      <w:pgSz w:w="12240" w:h="15840"/>
      <w:pgMar w:left="1008" w:right="1008"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pPr>
    <w:rPr>
      <w:color w:val="000000"/>
      <w:sz w:val="24"/>
      <w:u w:val="single"/>
      <w:lang w:eastAsia="en-US"/>
    </w:rPr>
  </w:style>
  <w:style w:type="paragraph" w:styleId="Heading2">
    <w:name w:val="heading 2"/>
    <w:basedOn w:val="Normal"/>
    <w:next w:val="Normal"/>
    <w:qFormat/>
    <w:pPr>
      <w:keepNext w:val="true"/>
      <w:numPr>
        <w:ilvl w:val="1"/>
        <w:numId w:val="1"/>
      </w:numPr>
      <w:jc w:val="center"/>
      <w:outlineLvl w:val="1"/>
    </w:pPr>
    <w:rPr>
      <w:sz w:val="32"/>
    </w:rPr>
  </w:style>
  <w:style w:type="paragraph" w:styleId="Heading3">
    <w:name w:val="heading 3"/>
    <w:basedOn w:val="Normal"/>
    <w:next w:val="Normal"/>
    <w:qFormat/>
    <w:pPr>
      <w:keepNext w:val="true"/>
      <w:numPr>
        <w:ilvl w:val="2"/>
        <w:numId w:val="1"/>
      </w:numPr>
      <w:jc w:val="center"/>
      <w:outlineLvl w:val="2"/>
    </w:pPr>
    <w:rPr>
      <w:b/>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2001-01-31T17:45:00Z</dcterms:created>
  <dc:creator>britter</dc:creator>
  <dc:description/>
  <dc:language>en-CA</dc:language>
  <cp:lastModifiedBy>dhindman</cp:lastModifiedBy>
  <cp:lastPrinted>2001-01-29T15:50:00Z</cp:lastPrinted>
  <dcterms:modified xsi:type="dcterms:W3CDTF">2001-01-31T17:51:00Z</dcterms:modified>
  <cp:revision>3</cp:revision>
  <dc:subject/>
  <dc:title>TrizecHahn                                                       TrizecHahn Office Properties Inc</dc:title>
</cp:coreProperties>
</file>