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pPr>
      <w:r>
        <w:rPr/>
        <w:tab/>
        <w:t>Regulatory Reform Legislation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Section 1.  Legal Certainty for Financial Product Derivatives and Board of Trade definition.</w:t>
      </w:r>
    </w:p>
    <w:p>
      <w:pPr>
        <w:pStyle w:val="Level2"/>
        <w:widowControl/>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New Treasury Amendment Plus to read as follows:  “Nothing in this Act shall be deemed to govern or in any way be applicable to any agreement, contract, or transaction in or involving any financial product unless such agreement, contract or transaction is executed or traded on or through the facilities of a board of trade.”</w:t>
      </w:r>
    </w:p>
    <w:p>
      <w:pPr>
        <w:pStyle w:val="Level3"/>
        <w:widowContro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w:t>
      </w:r>
      <w:r>
        <w:rPr/>
        <w:t>The term ‘financial product’ means —</w:t>
      </w:r>
    </w:p>
    <w:p>
      <w:pPr>
        <w:pStyle w:val="Level4"/>
        <w:widowControl/>
        <w:numPr>
          <w:ilvl w:val="3"/>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 xml:space="preserve">any interest rate, exchange rate, currency, security, security index, debt or equity instrument, or widely-published index of inflation; or </w:t>
      </w:r>
    </w:p>
    <w:p>
      <w:pPr>
        <w:pStyle w:val="Level4"/>
        <w:widowControl/>
        <w:numPr>
          <w:ilvl w:val="3"/>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any other rate, differential, index, or measure of economic risk, return, or value, other than the price of, or price differential between, one or more commodities not listed in subparagraph (A) that have a finite supply.”</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Level2"/>
        <w:widowControl/>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 xml:space="preserve">Section 1a(1) of the Commodity Exchange Act is amended to read as follows:  “The term ‘board of trade’ means any person or group of persons that constitutes, maintains, or provides a physical or electronic facility or system in which participants have the ability to execute or trade agreements, contracts or transactions which are contracts of sale of a commodity for future delivery, options related to such contracts or other derivative instruments (other than an option on any security or security index or any option on foreign currency traded on a national securities exchange) by accepting bids and offers made by one participant that are open to multiple participants in such facility or system.”    </w:t>
      </w:r>
    </w:p>
    <w:p>
      <w:pPr>
        <w:pStyle w:val="Level3"/>
        <w:widowContro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The following are excluded from the board of trade definition for purposes of the  new Treasury Amendment Plus:</w:t>
      </w:r>
    </w:p>
    <w:p>
      <w:pPr>
        <w:pStyle w:val="Level4"/>
        <w:widowControl/>
        <w:numPr>
          <w:ilvl w:val="3"/>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w:t>
      </w:r>
      <w:r>
        <w:rPr/>
        <w:t xml:space="preserve">No person or group of persons shall be considered to be a board of trade if such person or group of persons makes available its facility or system only to eligible contract participants trading for their own account and not, directly or indirectly, for or on behalf of any other person, provided that any board of trade, or any affiliate or subsidiary thereof, that satisfies the trading limitation of this subsection may elect to be subject to regulation under this Act as a board of trade for any contract, agreement or transaction that would be otherwise excluded under this section.”  </w:t>
      </w:r>
    </w:p>
    <w:p>
      <w:pPr>
        <w:pStyle w:val="Level5"/>
        <w:widowControl/>
        <w:numPr>
          <w:ilvl w:val="4"/>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Note: eligible contract participant to be defined under new section 1(a)(9) of the draft Treasury legislation.</w:t>
      </w:r>
    </w:p>
    <w:p>
      <w:pPr>
        <w:pStyle w:val="Level4"/>
        <w:widowControl/>
        <w:numPr>
          <w:ilvl w:val="3"/>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 xml:space="preserve"> “</w:t>
      </w:r>
      <w:r>
        <w:rPr/>
        <w:t xml:space="preserve">No person or group of persons shall be considered to be a board of trade solely because such person or group of persons – </w:t>
      </w:r>
    </w:p>
    <w:p>
      <w:pPr>
        <w:pStyle w:val="Level5"/>
        <w:widowControl/>
        <w:numPr>
          <w:ilvl w:val="4"/>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 xml:space="preserve">constitutes, maintains or provides an electronic facility or system to assist persons in communicating about an agreement, contract or transaction; or </w:t>
      </w:r>
    </w:p>
    <w:p>
      <w:pPr>
        <w:sectPr>
          <w:type w:val="continuous"/>
          <w:pgSz w:w="12240" w:h="15840"/>
          <w:pgMar w:left="1440" w:right="1440" w:gutter="0" w:header="0" w:top="1440" w:footer="0" w:bottom="1440"/>
          <w:formProt w:val="false"/>
          <w:textDirection w:val="lrTb"/>
          <w:docGrid w:type="default" w:linePitch="360" w:charSpace="0"/>
        </w:sectPr>
      </w:pPr>
    </w:p>
    <w:p>
      <w:pPr>
        <w:pStyle w:val="Level5"/>
        <w:widowControl/>
        <w:numPr>
          <w:ilvl w:val="4"/>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is a derivatives clearing organization or permits participants to submit agreements, contracts, or transactions to a derivatives clearing organization.”</w:t>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 xml:space="preserve">Section 2.  Designation Requirements for Contract Markets.  </w:t>
      </w:r>
    </w:p>
    <w:p>
      <w:pPr>
        <w:pStyle w:val="Level2"/>
        <w:widowControl/>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 xml:space="preserve">The provisions of sections 4j, 5, 5a(a),5a(b), 5b, 6(a), and 8e of the Commodity Exchange Act are repealed.  </w:t>
      </w:r>
    </w:p>
    <w:p>
      <w:pPr>
        <w:pStyle w:val="Level2"/>
        <w:widowControl/>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 xml:space="preserve">Any board of trade that proposes to allow any futures contract, related options contract or other derivative contract (other than an option on any security or any option on foreign currency traded on a national securities exchange) to be traded on or through its facilities must first be designated as a contract market under this section, unless such board of trade is designated by the Commission as a derivatives transaction facility under Section 4 of this Act or operates an exempt board of trade under Section 6 of this Act.  Once a board of trade has been designated as a contract market, the board of trade may list additional futures contracts, related options contracts or other derivatives contracts for trading and shall be considered to be a designated contract market in that new contract. </w:t>
      </w: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 xml:space="preserve">Any board of trade applying to the Commission for designation as a contract market must submit to the Commission an application to the Commission including any materials and records the Commission may require. </w:t>
        <w:tab/>
        <w:t>The Commission may request public comment on a board of trade’s contract market designation application and may conduct any form of public hearing it believes to be appropriate concerning the application.</w:t>
      </w:r>
    </w:p>
    <w:p>
      <w:pPr>
        <w:sectPr>
          <w:type w:val="continuous"/>
          <w:pgSz w:w="12240" w:h="15840"/>
          <w:pgMar w:left="1440" w:right="1440" w:gutter="0" w:header="0" w:top="1440" w:footer="0" w:bottom="1440"/>
          <w:formProt w:val="false"/>
          <w:textDirection w:val="lrTb"/>
          <w:docGrid w:type="default" w:linePitch="360" w:charSpace="0"/>
        </w:sectPr>
      </w:pP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Before granting any board of trade designation as a contract market, the Commission must find that the board of trade has –</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 xml:space="preserve"> </w:t>
      </w:r>
      <w:r>
        <w:rPr/>
        <w:t xml:space="preserve">demonstrated its capacity to prevent market manipulation through market surveillance, compliance and enforcement practices and procedures including methods for conducting prompt monitoring of trading and trade reconstructions; </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trading rules to ensure fair and equitable trading through its facilities, and the capacity to detect, investigate and discipline any market participant that may violate those rules;</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rules defining, or specifications detailing, the manner of operation of the trade execution facility maintained by such board of trade, including the operation of any electronic matching platform, and demonstrated that the trade execution facility operates as defined in the rules or as detailed in the specifications;</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effective procedures and mechanisms for ensuring the financial integrity of transactions entered into by or through its facility;</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 xml:space="preserve">fair and workable disciplinary procedures that would authorize  the board of trade to discipline, suspend or expel members or market participants who violate the board of trade’s rules, or similar methods for performing the same functions, including delegations to third parties; </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provided the public with ready access to the rules, regulations and contract specifications of the board of trade; and</w:t>
      </w:r>
    </w:p>
    <w:p>
      <w:pPr>
        <w:sectPr>
          <w:type w:val="continuous"/>
          <w:pgSz w:w="12240" w:h="15840"/>
          <w:pgMar w:left="1440" w:right="1440" w:gutter="0" w:header="0" w:top="1440" w:footer="0" w:bottom="1440"/>
          <w:formProt w:val="false"/>
          <w:textDirection w:val="lrTb"/>
          <w:docGrid w:type="default" w:linePitch="360" w:charSpace="0"/>
        </w:sectPr>
      </w:pP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rules that will allow the board of trade to obtain any and all necessary information to perform any of the above functions, including the capacity to carry out the provisions of any international information sharing agreements as the Commission may specify.</w:t>
      </w: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Any board of trade that has been designated as a contract market by the Commission  under section 5, as in effect on the date of such designation, shall be considered already to be designated as a contract market for purposes of compliance with this section.</w:t>
      </w: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If the Commission  determines to deny any application for designation as a contract market, the Commission must afford the applicant board of trade written notice setting forth the reasons and basis for its determination and an opportunity for a hearing on the record before the Commission.  Interested or affected parties may petition to participate in such proceedings.  Within 60 days of the conclusion of that hearing, the Commission must issue its final determination in writing on the designation application setting forth its findings and conclusions.</w:t>
      </w: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rFonts w:ascii="CG Times" w:hAnsi="CG Times" w:cs="CG Times"/>
        </w:rPr>
      </w:pPr>
      <w:r>
        <w:rPr/>
        <w:t>The applicant board of trade or any party adversely affected by the Commission</w:t>
      </w:r>
      <w:r>
        <w:rPr>
          <w:rFonts w:cs="Univers" w:ascii="Univers" w:hAnsi="Univers"/>
        </w:rPr>
        <w:t>=</w:t>
      </w:r>
      <w:r>
        <w:rPr>
          <w:rFonts w:cs="CG Times" w:ascii="CG Times" w:hAnsi="CG Times"/>
        </w:rPr>
        <w:t>s decision may petition for review of the Commission</w:t>
      </w:r>
      <w:r>
        <w:rPr>
          <w:rFonts w:cs="Univers" w:ascii="Univers" w:hAnsi="Univers"/>
        </w:rPr>
        <w:t>=</w:t>
      </w:r>
      <w:r>
        <w:rPr>
          <w:rFonts w:cs="CG Times" w:ascii="CG Times" w:hAnsi="CG Times"/>
        </w:rPr>
        <w:t xml:space="preserve">s final determination on a contract market designation application to the United States Court of Appeals in which the applicant board of trade or the adversely affected party has its principal place of business. </w:t>
      </w:r>
    </w:p>
    <w:p>
      <w:pPr>
        <w:pStyle w:val="Level1"/>
        <w:widowControl/>
        <w:numPr>
          <w:ilvl w:val="0"/>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Section 3.  Core Principles for Contract Markets</w:t>
      </w:r>
    </w:p>
    <w:p>
      <w:pPr>
        <w:sectPr>
          <w:type w:val="continuous"/>
          <w:pgSz w:w="12240" w:h="15840"/>
          <w:pgMar w:left="1440" w:right="1440" w:gutter="0" w:header="0" w:top="1440" w:footer="0" w:bottom="1440"/>
          <w:formProt w:val="false"/>
          <w:textDirection w:val="lrTb"/>
          <w:docGrid w:type="default" w:linePitch="360" w:charSpace="0"/>
        </w:sectPr>
      </w:pP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Any contract market must on a continuing basis satisfy the following core principles of effective self-regulation –</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Monitor and enforce compliance with its rules, including the terms and conditions of any contracts to be traded and any limitations on access;</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List only those contracts that are not readily susceptible to manipulation;</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Monitor trading under normal and extraordinary market conditions, to prevent manipulation, price distortion and disruptions of the delivery or cash-settlement process;</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Adopt position limits for speculators and hedgers in order to reduce any potential threat of market manipulation or congestion, especially during trading in the delivery month;</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Adopt rules to provide for the exercise of emergency authority, in consultation or cooperation with the Commission, where necessary and appropriate, including the authority to liquidate or transfer open positions in any contract, to suspend or curtail trading in any contract  and to require market participants in any contract to meet special margin requirements.</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Make readily available to market authorities, market participants and the public information concerning the terms and conditions of its contracts as well as the mechanisms for executing transactions on or through the contract market’s facilities;</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Make public daily information on prices, bids, offers, volume, open interest as well as opening and closing ranges in its contracts;</w:t>
      </w:r>
    </w:p>
    <w:p>
      <w:pPr>
        <w:sectPr>
          <w:type w:val="continuous"/>
          <w:pgSz w:w="12240" w:h="15840"/>
          <w:pgMar w:left="1440" w:right="1440" w:gutter="0" w:header="0" w:top="1440" w:footer="0" w:bottom="1440"/>
          <w:formProt w:val="false"/>
          <w:textDirection w:val="lrTb"/>
          <w:docGrid w:type="default" w:linePitch="360" w:charSpace="0"/>
        </w:sectPr>
      </w:pP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Provide a competitive, open and efficient market and mechanism for executing transactions;</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Maintain rules and procedures to provide for the recording of all identifying trade details in a quality that is suitable to enable the contract market to use such data for purposes of assisting in the prevention of customer and market abuses and providing evidence of any violations  of the contract market’s rules, including the safe storage of such data;</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Implement rules providing for the financial integrity of any contracts traded on the contract market, including rules to ensure the financial integrity of any futures commission merchants and the protection of customer funds;</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Establish rules to protect market participants from any abusive practices committed by any party acting as an agent for such participants;</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Provide rules and resources for alternative dispute resolution facilities as appropriate for market participants and any market intermediaries;</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Adopt standards governing the fitness of any person acting as a director or a decision maker in any disciplinary process,  including the affiliates of such person, and the prevention of inappropriate conflicts of interest in the contract market’s decision-making process;</w:t>
      </w:r>
    </w:p>
    <w:p>
      <w:pPr>
        <w:sectPr>
          <w:type w:val="continuous"/>
          <w:pgSz w:w="12240" w:h="15840"/>
          <w:pgMar w:left="1440" w:right="1440" w:gutter="0" w:header="0" w:top="1440" w:footer="0" w:bottom="1440"/>
          <w:formProt w:val="false"/>
          <w:textDirection w:val="lrTb"/>
          <w:docGrid w:type="default" w:linePitch="360" w:charSpace="0"/>
        </w:sectPr>
      </w:pP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Maintain books and records relating to the operation of the contract market for five years in a form and manner acceptable to the Commission and for two years in a form and manner readily available to the Commission, which books and records shall be available at any time to inspection by the United States Department of Justice; and</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 xml:space="preserve">Avoid adopting any rules or taking any actions that might result in any unreasonable restraints of trade or imposing any anti-competitive burden on trading on the contract market which is not necessary or appropriate to achieve the objectives of this Act, including effective self-regulation. </w:t>
      </w:r>
    </w:p>
    <w:p>
      <w:pPr>
        <w:pStyle w:val="Level1"/>
        <w:widowControl/>
        <w:numPr>
          <w:ilvl w:val="0"/>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Section 4 – Derivatives Transaction Execution Facilities</w:t>
      </w: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 xml:space="preserve">Any board of trade may elect, in lieu of compliance with the contract market designation requirements of subsection 2 (B), to operate as a recognized derivative transaction execution facility if such board of trade has already been designated as a contract market by the Commission or is already recognized as a derivatives transaction execution facility under subsection (B) of this section.  Any board of trade already designated as a contract market or already recognized as a derivative transaction execution facility may trade any futures contract or other derivatives transaction on or through its facilities, as a recognized derivatives transaction execution facility, so long as the conditions of this section are met. </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Any recognized derivatives transaction execution facility may trade only futures or other derivative contracts where the underlying commodity meets any of these criteria</w:t>
      </w:r>
    </w:p>
    <w:p>
      <w:pPr>
        <w:pStyle w:val="Level4"/>
        <w:widowControl/>
        <w:numPr>
          <w:ilvl w:val="3"/>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has a nearly inexhaustible deliverable supply;</w:t>
      </w:r>
    </w:p>
    <w:p>
      <w:pPr>
        <w:sectPr>
          <w:type w:val="continuous"/>
          <w:pgSz w:w="12240" w:h="15840"/>
          <w:pgMar w:left="1440" w:right="1440" w:gutter="0" w:header="0" w:top="1440" w:footer="0" w:bottom="1440"/>
          <w:formProt w:val="false"/>
          <w:textDirection w:val="lrTb"/>
          <w:docGrid w:type="default" w:linePitch="360" w:charSpace="0"/>
        </w:sectPr>
      </w:pPr>
    </w:p>
    <w:p>
      <w:pPr>
        <w:pStyle w:val="Level4"/>
        <w:widowControl/>
        <w:numPr>
          <w:ilvl w:val="3"/>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 xml:space="preserve">has deliverable supplies that are so large and deep or otherwise regulated such that the derivatives contract is highly unlikely to be susceptible to the threat of manipulation;  </w:t>
      </w:r>
    </w:p>
    <w:p>
      <w:pPr>
        <w:pStyle w:val="Level4"/>
        <w:widowControl/>
        <w:numPr>
          <w:ilvl w:val="3"/>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 xml:space="preserve">has no cash market as a matter of commercial reality; </w:t>
      </w:r>
    </w:p>
    <w:p>
      <w:pPr>
        <w:pStyle w:val="Level4"/>
        <w:widowControl/>
        <w:numPr>
          <w:ilvl w:val="3"/>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is produced or used by all market participants in the normal course of their commercial activities; or</w:t>
      </w:r>
    </w:p>
    <w:p>
      <w:pPr>
        <w:pStyle w:val="Level4"/>
        <w:widowControl/>
        <w:numPr>
          <w:ilvl w:val="3"/>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the Commission determines, based on the  market characteristics, surveillance history and self-regulatory record and capacity of the board of trade, that trading in such contract is highly unlikely to be susceptible to the threat of manipulation.</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Trading on any recognized derivatives transaction execution facility must be limited either to eligible contract participants, as defined in section 1a(9), or to any person trading through any futures commission merchant that is registered with the Commission, is a member of a self-regulatory organization and a clearing member of a clearing organization with net capital of  at least $20 million, if authorized by the derivatives transaction execution facility.</w:t>
      </w:r>
    </w:p>
    <w:p>
      <w:pPr>
        <w:sectPr>
          <w:type w:val="continuous"/>
          <w:pgSz w:w="12240" w:h="15840"/>
          <w:pgMar w:left="1440" w:right="1440" w:gutter="0" w:header="0" w:top="1440" w:footer="0" w:bottom="1440"/>
          <w:formProt w:val="false"/>
          <w:textDirection w:val="lrTb"/>
          <w:docGrid w:type="default" w:linePitch="360" w:charSpace="0"/>
        </w:sectPr>
      </w:pP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Any board of trade that is otherwise designated as a contract market must, to the extent it operates a recognized derivatives transaction execution facility, provide either a physical location for its contract market trading that is separate from trading on its derivatives transaction execution facility or, in the case where a board of trade uses the same electronic trading system for trading on its contract market and derivatives transaction execution facility, identify  whether the electronic trading is taking place on the contract market or the derivatives transaction execution facility.</w:t>
      </w: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Any board of trade may apply for recognition by the Commission as a derivatives transaction execution facility by submitting to the Commission application including any materials and records the Commission may require.  The Commission may request public comment on any board of trade’s recognition application and may conduct any form of public hearing it believes to be appropriate on such application, provided that the Commission must take final action on any recognition applications it receives in 90 days absent extraordinary circumstances beyond the control of the Commission.</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Any board of trade applying to become a recognized derivatives transaction execution facility shall be required to demonstrate that it</w:t>
      </w:r>
    </w:p>
    <w:p>
      <w:pPr>
        <w:pStyle w:val="Level4"/>
        <w:widowControl/>
        <w:numPr>
          <w:ilvl w:val="3"/>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Complies with the transaction and participant qualification standards of subsection (A) of this Section;</w:t>
      </w:r>
    </w:p>
    <w:p>
      <w:pPr>
        <w:sectPr>
          <w:type w:val="continuous"/>
          <w:pgSz w:w="12240" w:h="15840"/>
          <w:pgMar w:left="1440" w:right="1440" w:gutter="0" w:header="0" w:top="1440" w:footer="0" w:bottom="1440"/>
          <w:formProt w:val="false"/>
          <w:textDirection w:val="lrTb"/>
          <w:docGrid w:type="default" w:linePitch="360" w:charSpace="0"/>
        </w:sectPr>
      </w:pPr>
    </w:p>
    <w:p>
      <w:pPr>
        <w:pStyle w:val="Level4"/>
        <w:widowControl/>
        <w:numPr>
          <w:ilvl w:val="3"/>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Has adopted trading rules that will deter abuses and has the capacity to detect, investigate and enforce those rules, including any arrangements to obtain information necessary to perform any of those functions or to use technological means to provide market participants with impartial access to the market which also captures data that may be used in establishing whether rule violations have occurred;</w:t>
      </w:r>
    </w:p>
    <w:p>
      <w:pPr>
        <w:pStyle w:val="Level4"/>
        <w:widowControl/>
        <w:numPr>
          <w:ilvl w:val="3"/>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Has adopted rules or terms and conditions defining or specifications detailing trading procedures to be used in entering and executing orders traded on its facilities; and</w:t>
      </w:r>
    </w:p>
    <w:p>
      <w:pPr>
        <w:pStyle w:val="Level4"/>
        <w:widowControl/>
        <w:numPr>
          <w:ilvl w:val="3"/>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Has adopted rules or terms and conditions providing for the financial integrity of all transactions entered on or through its facilities.</w:t>
      </w: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Any derivatives transaction execution facility must on a continuing basis satisfy the following core principles of effective self-regulation –</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Monitor and enforce its rules, including any terms and conditions of any contracts traded on or through its facilities and any limitations on access to its facilities;</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Monitor trading activity in its contracts to ensure orderly trading in the  contract and to maintain an orderly market while providing any necessary   trading information to the Commission to allow it to discharge its obligations under the Act;</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Disclose publicly and to the Commission information concerning contract terms and conditions, trading conventions, mechanisms and practices, financial integrity protections as well as other information relevant to participation in trading on the contract market;</w:t>
      </w:r>
    </w:p>
    <w:p>
      <w:pPr>
        <w:sectPr>
          <w:type w:val="continuous"/>
          <w:pgSz w:w="12240" w:h="15840"/>
          <w:pgMar w:left="1440" w:right="1440" w:gutter="0" w:header="0" w:top="1440" w:footer="0" w:bottom="1440"/>
          <w:formProt w:val="false"/>
          <w:textDirection w:val="lrTb"/>
          <w:docGrid w:type="default" w:linePitch="360" w:charSpace="0"/>
        </w:sectPr>
      </w:pP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Provide to market participants on a fair, equitable and timely basis information regarding prices, bids and offers, and for actively-traded contracts, daily information on prices, bids, offers, volume, open interest as well as opening and closing ranges;</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Adopt appropriate fitness standards for directors, members of any disciplinary committee, members, any other parties with direct access to the transaction execution facilities, including any parties affiliated with any of the foregoing;</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Maintain books and records  of all activities related to its business as a derivatives transaction execution facility, including all necessary information relating to data entry and trade details, in a form and manner acceptable to the Commission for a period of five years and in a form and manner readily available to the Commission and the Department of Justice for a period of two years.</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 xml:space="preserve">Avoid adopting any rules or taking any actions that might result in any unreasonable restraints of trade or imposing any anti-competitive burden on trading on the contract market which is not necessary or appropriate to achieve the objectives of this Act, including effective self-regulation. </w:t>
      </w:r>
    </w:p>
    <w:p>
      <w:pPr>
        <w:sectPr>
          <w:type w:val="continuous"/>
          <w:pgSz w:w="12240" w:h="15840"/>
          <w:pgMar w:left="1440" w:right="1440" w:gutter="0" w:header="0" w:top="1440" w:footer="0" w:bottom="1440"/>
          <w:formProt w:val="false"/>
          <w:textDirection w:val="lrTb"/>
          <w:docGrid w:type="default" w:linePitch="360" w:charSpace="0"/>
        </w:sectPr>
      </w:pP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Any recognized derivatives transaction execution facility may allow by rule any registered broker-dealer or bank to act as an intermediary for transactions executed on the derivatives transaction execution facility so long as such entity is in good standing with the Securities and Exchange Commission , relevant bank regulatory authority or the Farm Credit Administration, as applicable.  The Commission shall cooperate and coordinate with the Securities and Exchange Commission and federal banking regulators to adopt rules and take any other necessary or appropriate action to facilitate the implementation of this provision.</w:t>
      </w: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 xml:space="preserve"> </w:t>
      </w:r>
      <w:r>
        <w:rPr/>
        <w:t>Consistent with rules and regulations the Commission shall adopt within 180  days of enactment, any derivatives transaction execution facility may authorize futures commission merchants to offer any of their customers that are eligible contract participants under section 1(a)(9) of this Act the right not to segregate its customer funds for purposes of its trading on or through the facilities of that recognized derivatives transaction execution facility.</w:t>
      </w:r>
    </w:p>
    <w:p>
      <w:pPr>
        <w:pStyle w:val="Level1"/>
        <w:widowControl/>
        <w:numPr>
          <w:ilvl w:val="0"/>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Other provisions for designated contract markets and recognized derivatives transaction execution facilities.</w:t>
      </w: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Consistent with the purposes of this Act, the Commission may issue interpretations of the core principles for designated contract markets and recognized derivatives transaction execution facilities to describe what would constitute acceptable business practices for complying with those core principles, provided that such interpretations shall not provide the exclusive means for complying with such core principles.</w:t>
      </w: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Any designated contract market or recognized derivatives transaction execution facility may comply with any applicable core principles through delegation of any relevant function to a registered futures association or registered clearing organization.</w:t>
      </w:r>
    </w:p>
    <w:p>
      <w:pPr>
        <w:sectPr>
          <w:type w:val="continuous"/>
          <w:pgSz w:w="12240" w:h="15840"/>
          <w:pgMar w:left="1440" w:right="1440" w:gutter="0" w:header="0" w:top="1440" w:footer="0" w:bottom="1440"/>
          <w:formProt w:val="false"/>
          <w:textDirection w:val="lrTb"/>
          <w:docGrid w:type="default" w:linePitch="360" w:charSpace="0"/>
        </w:sectPr>
      </w:pP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Any designated contract market or recognized derivatives transaction execution facility may elect to list for trading any new contract or other instrument or may elect to approve and implement any new rule or rule amendment by providing to the Commission a written certification that such new contract, new rule or rule amendment complies with the provisions of this Act.  Notwithstanding the foregoing, any designated contract market or recognized derivatives transaction execution facility may request that the Commission grant prior approval to any new contract or other instrument or any new rule or rule amendment.  The Commission shall approve any such new contract or instrument, new rule or rule change unless the Commission finds that the new contract or instrument, new rule or rule change would violate any provision of this Act.  If prior approval is requested under this subsection, the Commission shall take final action on such request within 90 days of its submission, unless the party submitting the request agrees to an extension of that time limitation.</w:t>
      </w:r>
    </w:p>
    <w:p>
      <w:pPr>
        <w:sectPr>
          <w:type w:val="continuous"/>
          <w:pgSz w:w="12240" w:h="15840"/>
          <w:pgMar w:left="1440" w:right="1440" w:gutter="0" w:header="0" w:top="1440" w:footer="0" w:bottom="1440"/>
          <w:formProt w:val="false"/>
          <w:textDirection w:val="lrTb"/>
          <w:docGrid w:type="default" w:linePitch="360" w:charSpace="0"/>
        </w:sectPr>
      </w:pP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rFonts w:cs="CG Times" w:ascii="CG Times" w:hAnsi="CG Times"/>
        </w:rPr>
        <w:t>If the Commission has reason to believe that any designated contract market or recognized derivatives transaction execution facility (“affected party”) is violating any of the applicable core principles, the Commission must notify the affected party in writing of the substantive reasons for its preliminary determination, including any data or materials the Commission has relied upon in reaching its preliminary determination and any specific facts the Commission relied upon in making its preliminary determination.  The affected party shall be afforded no less than 21 days to respond in writing to the Commission</w:t>
      </w:r>
      <w:r>
        <w:rPr>
          <w:rFonts w:cs="Univers" w:ascii="Univers" w:hAnsi="Univers"/>
        </w:rPr>
        <w:t>=</w:t>
      </w:r>
      <w:r>
        <w:rPr/>
        <w:t>s preliminary determination.  The Commission may determine to extend the period of time for filing a response in its discretion.</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Following receipt of the affected party’s response to the Commission’s preliminary determination, the Commission promptly must initiate  discussions with the affected party to attempt to remedy the alleged deficiency in a mutually acceptable manner.</w:t>
        <w:tab/>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If, after a reasonable period of time, no mutually acceptable resolution is reached, the Commission may initiate an action for an injunction under section 6c of the Act or an administrative proceeding to show, by the preponderance of the evidence, that the affected party is violating one of the core principles in subsection ---  or ----,  and that the Commission has  recommended an appropriate remedial action to remove the deficiency based upon a showing of the costs and benefits of the Commission recommendation, provided that in any such proceeding the Commission shall have the burden of proving that the affected party is violating the applicable core principle.</w:t>
      </w: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The Commission shall have exclusive jurisdiction over any accounts, agreements or transactions involving any contracts of sale of a commodity for future delivery, related options or other forms of derivatives transactions that are traded on or through the facilities of a designated contract market or a recognized derivatives transaction execution facility.</w:t>
      </w:r>
    </w:p>
    <w:p>
      <w:pPr>
        <w:pStyle w:val="Level1"/>
        <w:widowControl/>
        <w:numPr>
          <w:ilvl w:val="0"/>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Exempt Board of Trade</w:t>
      </w:r>
    </w:p>
    <w:p>
      <w:pPr>
        <w:sectPr>
          <w:type w:val="continuous"/>
          <w:pgSz w:w="12240" w:h="15840"/>
          <w:pgMar w:left="1440" w:right="1440" w:gutter="0" w:header="0" w:top="1440" w:footer="0" w:bottom="1440"/>
          <w:formProt w:val="false"/>
          <w:textDirection w:val="lrTb"/>
          <w:docGrid w:type="default" w:linePitch="360" w:charSpace="0"/>
        </w:sectPr>
      </w:pP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 xml:space="preserve">Any futures contract, related option or other derivative transaction traded on or through the facilities of an exempt board of trade is exempt from any provisions of  this Act except as provided further in this section. </w:t>
      </w: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 xml:space="preserve">In order to qualify for such an exemption, any board of trade must limit trading on or through its facilities to </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 xml:space="preserve">futures contracts, related options or other derivative transactions where the underlying commodity has no underlying cash market, nearly inexhaustible deliverable supplies or supplies that are sufficiently large and a cash market sufficiently liquid to render any contract traded on such commodity highly unlikely to be susceptible to manipulation and </w:t>
      </w:r>
    </w:p>
    <w:p>
      <w:pPr>
        <w:pStyle w:val="Level3"/>
        <w:widowControl/>
        <w:numPr>
          <w:ilvl w:val="2"/>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 xml:space="preserve">such contracts, options or other transactions entered into by, or for the benefit of, only eligible contract participants as defined in section 1a(9) of this Act.  </w:t>
      </w: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Any parties to futures contracts, related options or other derivatives transactions traded on an exempt board of trade shall be subject to the provisions of sections 4b, 4o, 6(c) and 9(a)(2) of this Act as well as a general antifraud prohibition the Commission shall adopt within 90 days of the date of enactment following public notice and comment.  The Commission may bring an action to enforce any of these provisions of the Act or the Commission’s general antifraud prohibition under any of its existing enforcement powers including sections 6 (c), 6 (d) and 6c of this Act.</w:t>
      </w:r>
    </w:p>
    <w:p>
      <w:pPr>
        <w:sectPr>
          <w:type w:val="continuous"/>
          <w:pgSz w:w="12240" w:h="15840"/>
          <w:pgMar w:left="1440" w:right="1440" w:gutter="0" w:header="0" w:top="1440" w:footer="0" w:bottom="1440"/>
          <w:formProt w:val="false"/>
          <w:textDirection w:val="lrTb"/>
          <w:docGrid w:type="default" w:linePitch="360" w:charSpace="0"/>
        </w:sectPr>
      </w:pP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In the event any exempt board of trade becomes a significant source of price discovery for any underlying commodity in any transaction traded on or through its facilities, the board of trade must disseminate publicly on a daily basis trading volume, opening and closing price ranges, open interest and other trading data as appropriate to such market.</w:t>
      </w: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The Commission shall have exclusive jurisdiction over any accounts, agreements or transactions involving any contracts of sale of a commodity for future delivery, or related options traded on an exempt board of trade.</w:t>
      </w:r>
    </w:p>
    <w:p>
      <w:pPr>
        <w:pStyle w:val="Level2"/>
        <w:widowControl/>
        <w:numPr>
          <w:ilvl w:val="1"/>
          <w:numId w:val="1"/>
        </w:numPr>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Any board of trade that is designated as a contract market or recognized as a derivatives transaction execution facility may operate an exempt board of trade by establishing a separate subsidiary or other legal entity and otherwise satisfying all of the requirements of this section.</w:t>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 w:name="CG Times">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tabs>
        <w:tab w:val="clear" w:pos="720"/>
      </w:tabs>
      <w:ind w:hanging="720" w:start="720" w:end="0"/>
      <w:outlineLvl w:val="0"/>
    </w:pPr>
    <w:rPr/>
  </w:style>
  <w:style w:type="paragraph" w:styleId="Level2">
    <w:name w:val="Level 2"/>
    <w:basedOn w:val="Normal"/>
    <w:qFormat/>
    <w:pPr>
      <w:numPr>
        <w:ilvl w:val="0"/>
        <w:numId w:val="1"/>
      </w:numPr>
      <w:tabs>
        <w:tab w:val="clear" w:pos="720"/>
      </w:tabs>
      <w:ind w:hanging="720" w:start="1440" w:end="0"/>
      <w:outlineLvl w:val="1"/>
    </w:pPr>
    <w:rPr/>
  </w:style>
  <w:style w:type="paragraph" w:styleId="Level3">
    <w:name w:val="Level 3"/>
    <w:basedOn w:val="Normal"/>
    <w:qFormat/>
    <w:pPr>
      <w:numPr>
        <w:ilvl w:val="0"/>
        <w:numId w:val="1"/>
      </w:numPr>
      <w:tabs>
        <w:tab w:val="clear" w:pos="720"/>
      </w:tabs>
      <w:ind w:hanging="720" w:start="2160" w:end="0"/>
      <w:outlineLvl w:val="2"/>
    </w:pPr>
    <w:rPr/>
  </w:style>
  <w:style w:type="paragraph" w:styleId="Level4">
    <w:name w:val="Level 4"/>
    <w:basedOn w:val="Normal"/>
    <w:qFormat/>
    <w:pPr>
      <w:numPr>
        <w:ilvl w:val="0"/>
        <w:numId w:val="1"/>
      </w:numPr>
      <w:tabs>
        <w:tab w:val="clear" w:pos="720"/>
      </w:tabs>
      <w:ind w:hanging="720" w:start="2880" w:end="0"/>
      <w:outlineLvl w:val="3"/>
    </w:pPr>
    <w:rPr/>
  </w:style>
  <w:style w:type="paragraph" w:styleId="Level5">
    <w:name w:val="Level 5"/>
    <w:basedOn w:val="Normal"/>
    <w:qFormat/>
    <w:pPr>
      <w:numPr>
        <w:ilvl w:val="0"/>
        <w:numId w:val="1"/>
      </w:numPr>
      <w:tabs>
        <w:tab w:val="clear" w:pos="720"/>
      </w:tabs>
      <w:ind w:hanging="720" w:start="3600" w:end="0"/>
      <w:outlineLvl w:val="4"/>
    </w:pPr>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2000-04-07T17:41:00Z</dcterms:created>
  <dc:creator>Stacy Carey</dc:creator>
  <dc:description/>
  <dc:language>en-CA</dc:language>
  <cp:lastModifiedBy>Stacy Carey</cp:lastModifiedBy>
  <cp:lastPrinted>2000-04-07T16:08:00Z</cp:lastPrinted>
  <dcterms:modified xsi:type="dcterms:W3CDTF">2000-04-07T17:41:00Z</dcterms:modified>
  <cp:revision>2</cp:revision>
  <dc:subject/>
  <dc:title/>
</cp:coreProperties>
</file>