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tabs>
                <w:tab w:val="clear" w:pos="4320"/>
                <w:tab w:val="clear" w:pos="8640"/>
              </w:tabs>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rPr/>
      </w:pPr>
      <w:r>
        <w:rPr/>
      </w:r>
    </w:p>
    <w:p>
      <w:pPr>
        <w:pStyle w:val="Normal"/>
        <w:jc w:val="center"/>
        <w:rPr/>
      </w:pPr>
      <w:r>
        <w:rPr/>
        <w:t>August 1, 2001</w:t>
      </w:r>
    </w:p>
    <w:p>
      <w:pPr>
        <w:pStyle w:val="Normal"/>
        <w:rPr/>
      </w:pPr>
      <w:r>
        <w:rPr/>
      </w:r>
    </w:p>
    <w:p>
      <w:pPr>
        <w:pStyle w:val="Normal"/>
        <w:rPr/>
      </w:pPr>
      <w:r>
        <w:rPr/>
        <w:t>Cheyenne Light, Power, Fuel &amp; Power Company</w:t>
      </w:r>
    </w:p>
    <w:p>
      <w:pPr>
        <w:pStyle w:val="Normal"/>
        <w:rPr/>
      </w:pPr>
      <w:r>
        <w:rPr/>
        <w:t>(address )</w:t>
      </w: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rPr/>
      </w:pPr>
      <w:r>
        <w:rPr/>
      </w:r>
    </w:p>
    <w:p>
      <w:pPr>
        <w:pStyle w:val="Normal"/>
        <w:numPr>
          <w:ilvl w:val="0"/>
          <w:numId w:val="0"/>
        </w:numPr>
        <w:outlineLvl w:val="0"/>
        <w:rPr/>
      </w:pPr>
      <w:r>
        <w:rPr/>
        <w:t>Attn:  (                )</w:t>
      </w:r>
    </w:p>
    <w:p>
      <w:pPr>
        <w:pStyle w:val="Normal"/>
        <w:rPr/>
      </w:pPr>
      <w:r>
        <w:rPr/>
        <w:t>Fax No.:  (           )</w:t>
      </w:r>
    </w:p>
    <w:p>
      <w:pPr>
        <w:pStyle w:val="Normal"/>
        <w:rPr/>
      </w:pPr>
      <w:r>
        <w:rPr/>
        <w:t>Trans. No.:   (            )</w:t>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August 1, 2001 and binding between Cheyenne Light, Power, Fuel &amp; Power Company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DAILY  QUANTITY:</w:t>
            </w:r>
          </w:p>
        </w:tc>
        <w:tc>
          <w:tcPr>
            <w:tcW w:w="6318" w:type="dxa"/>
            <w:tcBorders/>
          </w:tcPr>
          <w:p>
            <w:pPr>
              <w:pStyle w:val="Normal"/>
              <w:jc w:val="both"/>
              <w:rPr>
                <w:b/>
              </w:rPr>
            </w:pPr>
            <w:r>
              <w:rPr/>
              <w:t xml:space="preserve">0 to 10,000  </w:t>
            </w:r>
            <w:r>
              <w:rPr>
                <w:b/>
              </w:rPr>
              <w:t xml:space="preserve"> </w:t>
            </w:r>
            <w:r>
              <w:rPr>
                <w:bCs/>
              </w:rPr>
              <w:t>MMBtus a day</w:t>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pPr>
            <w:r>
              <w:rPr>
                <w:bCs/>
              </w:rPr>
              <w:t xml:space="preserve">Customer’s at  Chalk Bluffs Meter No. </w:t>
            </w:r>
            <w:r>
              <w:rPr>
                <w:bCs/>
                <w:u w:val="single"/>
              </w:rPr>
              <w:t xml:space="preserve">                    </w:t>
            </w:r>
            <w:r>
              <w:rPr>
                <w:bCs/>
              </w:rPr>
              <w:t xml:space="preserve"> .</w:t>
            </w:r>
          </w:p>
        </w:tc>
      </w:tr>
      <w:tr>
        <w:trPr/>
        <w:tc>
          <w:tcPr>
            <w:tcW w:w="3258" w:type="dxa"/>
            <w:tcBorders/>
          </w:tcPr>
          <w:p>
            <w:pPr>
              <w:pStyle w:val="Normal"/>
              <w:snapToGrid w:val="false"/>
              <w:rPr>
                <w:b/>
                <w:bCs/>
              </w:rPr>
            </w:pPr>
            <w:r>
              <w:rPr>
                <w:b/>
                <w:bCs/>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Cs/>
              </w:rPr>
            </w:pPr>
            <w:r>
              <w:rPr>
                <w:bCs/>
              </w:rPr>
              <w:t>December 1, 2001 through February 28, 2002</w:t>
            </w:r>
          </w:p>
        </w:tc>
      </w:tr>
      <w:tr>
        <w:trPr/>
        <w:tc>
          <w:tcPr>
            <w:tcW w:w="3258" w:type="dxa"/>
            <w:tcBorders/>
          </w:tcPr>
          <w:p>
            <w:pPr>
              <w:pStyle w:val="Normal"/>
              <w:snapToGrid w:val="false"/>
              <w:rPr>
                <w:b/>
                <w:bCs/>
              </w:rPr>
            </w:pPr>
            <w:r>
              <w:rPr>
                <w:b/>
                <w:bCs/>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jc w:val="both"/>
              <w:rPr>
                <w:bCs/>
              </w:rPr>
            </w:pPr>
            <w:r>
              <w:rPr>
                <w:bCs/>
              </w:rPr>
              <w:t xml:space="preserve">The Contract Price shall be the “Daily Midpoint” price set forth in Gas Daily® (Financial Times Energy), or successor publication, in the column "Daily Price Survey" under the listing for  "Cheyenne Hub" for the relevant gas day.  If there is no single “Daily Midpoint” price published for that particular Gas Day, but there is published a "Common" range of prices under the above column and listing, then the Spot Price shall be the average of such “Common” high and low prices. </w:t>
            </w:r>
          </w:p>
          <w:p>
            <w:pPr>
              <w:pStyle w:val="Normal"/>
              <w:jc w:val="both"/>
              <w:rPr>
                <w:bCs/>
              </w:rPr>
            </w:pPr>
            <w:r>
              <w:rPr>
                <w:bCs/>
              </w:rPr>
            </w:r>
          </w:p>
        </w:tc>
      </w:tr>
      <w:tr>
        <w:trPr/>
        <w:tc>
          <w:tcPr>
            <w:tcW w:w="3258" w:type="dxa"/>
            <w:tcBorders/>
          </w:tcPr>
          <w:p>
            <w:pPr>
              <w:pStyle w:val="Normal"/>
              <w:rPr>
                <w:b/>
              </w:rPr>
            </w:pPr>
            <w:r>
              <w:rPr>
                <w:b/>
              </w:rPr>
              <w:t>OTHER:</w:t>
            </w:r>
          </w:p>
        </w:tc>
        <w:tc>
          <w:tcPr>
            <w:tcW w:w="6318" w:type="dxa"/>
            <w:tcBorders/>
          </w:tcPr>
          <w:p>
            <w:pPr>
              <w:pStyle w:val="Normal"/>
              <w:rPr>
                <w:bCs/>
              </w:rPr>
            </w:pPr>
            <w:r>
              <w:rPr>
                <w:bCs/>
              </w:rPr>
              <w:t>1.  Buyer agrees that in addition to the Contract Price, a “Demand Charge” shall be paid to Seller within fifteen (15) days of receipt of Seller's invoice thereof.  The Demand Charge shall be an amount equal to $0.01 MMBtu multiplied by 10,000 MMBtus, further multiplied by the number of days in the Period of Delivery.</w:t>
            </w:r>
            <w:r>
              <w:rPr>
                <w:bCs/>
                <w:u w:val="single"/>
              </w:rPr>
              <w:t xml:space="preserve"> </w:t>
            </w:r>
          </w:p>
          <w:p>
            <w:pPr>
              <w:pStyle w:val="Normal"/>
              <w:rPr>
                <w:bCs/>
              </w:rPr>
            </w:pPr>
            <w:r>
              <w:rPr>
                <w:bCs/>
              </w:rPr>
              <w:t>2.  Buyer agrees that nominations shall be made no later than 8:00 a.m. Central Standard Time one day prior to the day of delivery.</w:t>
            </w:r>
          </w:p>
          <w:p>
            <w:pPr>
              <w:pStyle w:val="Normal"/>
              <w:jc w:val="both"/>
              <w:rPr>
                <w:bCs/>
              </w:rPr>
            </w:pPr>
            <w:r>
              <w:rPr>
                <w:bCs/>
              </w:rPr>
            </w:r>
          </w:p>
        </w:tc>
      </w:tr>
    </w:tbl>
    <w:p>
      <w:pPr>
        <w:pStyle w:val="Normal"/>
        <w:ind w:start="3300" w:end="0"/>
        <w:rPr>
          <w:bCs/>
        </w:rPr>
      </w:pPr>
      <w:r>
        <w:rPr>
          <w:bCs/>
        </w:rPr>
      </w:r>
    </w:p>
    <w:p>
      <w:pPr>
        <w:pStyle w:val="Normal"/>
        <w:jc w:val="both"/>
        <w:rPr>
          <w:b/>
        </w:rPr>
      </w:pPr>
      <w:r>
        <w:rPr>
          <w:b/>
        </w:rPr>
        <w:tab/>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r>
    </w:p>
    <w:p>
      <w:pPr>
        <w:pStyle w:val="Normal"/>
        <w:jc w:val="both"/>
        <w:rPr/>
      </w:pPr>
      <w:r>
        <w:rPr/>
        <w:t xml:space="preserve">Cheyenne Light, Power, Fuel and </w:t>
        <w:tab/>
        <w:tab/>
        <w:tab/>
        <w:t>Enron North America Corp.</w:t>
      </w:r>
    </w:p>
    <w:p>
      <w:pPr>
        <w:pStyle w:val="Normal"/>
        <w:jc w:val="both"/>
        <w:rPr/>
      </w:pPr>
      <w:r>
        <w:rPr/>
        <w:t xml:space="preserve">   </w:t>
      </w:r>
      <w:r>
        <w:rPr/>
        <w:t>Power Company</w:t>
      </w:r>
    </w:p>
    <w:p>
      <w:pPr>
        <w:pStyle w:val="Normal"/>
        <w:jc w:val="both"/>
        <w:rPr/>
      </w:pPr>
      <w:r>
        <w:rPr/>
      </w:r>
    </w:p>
    <w:p>
      <w:pPr>
        <w:pStyle w:val="Normal"/>
        <w:jc w:val="both"/>
        <w:rPr/>
      </w:pPr>
      <w:r>
        <w:rPr/>
      </w:r>
    </w:p>
    <w:p>
      <w:pPr>
        <w:pStyle w:val="Normal"/>
        <w:jc w:val="both"/>
        <w:rPr/>
      </w:pPr>
      <w:r>
        <w:rPr/>
        <w:t>By:</w:t>
      </w:r>
      <w:r>
        <w:rPr>
          <w:u w:val="single"/>
        </w:rPr>
        <w:tab/>
        <w:tab/>
        <w:tab/>
        <w:tab/>
        <w:tab/>
      </w:r>
      <w:r>
        <w:rPr/>
        <w:tab/>
        <w:tab/>
        <w:t>By:</w:t>
      </w:r>
      <w:r>
        <w:rPr>
          <w:u w:val="single"/>
        </w:rPr>
        <w:tab/>
        <w:tab/>
        <w:tab/>
        <w:tab/>
        <w:tab/>
      </w:r>
    </w:p>
    <w:p>
      <w:pPr>
        <w:pStyle w:val="Normal"/>
        <w:jc w:val="both"/>
        <w:rPr/>
      </w:pPr>
      <w:r>
        <w:rPr/>
        <w:t>Name:</w:t>
      </w:r>
      <w:r>
        <w:rPr>
          <w:u w:val="single"/>
        </w:rPr>
        <w:tab/>
        <w:tab/>
        <w:tab/>
        <w:tab/>
        <w:tab/>
      </w:r>
      <w:r>
        <w:rPr/>
        <w:tab/>
        <w:tab/>
        <w:t>Name:</w:t>
      </w:r>
      <w:r>
        <w:rPr>
          <w:u w:val="single"/>
        </w:rPr>
        <w:tab/>
        <w:tab/>
        <w:tab/>
        <w:tab/>
        <w:tab/>
      </w:r>
    </w:p>
    <w:p>
      <w:pPr>
        <w:pStyle w:val="Normal"/>
        <w:jc w:val="both"/>
        <w:rPr/>
      </w:pPr>
      <w:r>
        <w:rPr/>
        <w:t>Title:</w:t>
      </w:r>
      <w:r>
        <w:rPr>
          <w:u w:val="single"/>
        </w:rPr>
        <w:tab/>
        <w:tab/>
        <w:tab/>
        <w:tab/>
        <w:tab/>
      </w:r>
      <w:r>
        <w:rPr/>
        <w:tab/>
        <w:tab/>
        <w:t>Title:</w:t>
      </w:r>
      <w:r>
        <w:rPr>
          <w:u w:val="single"/>
        </w:rPr>
        <w:tab/>
        <w:tab/>
        <w:tab/>
        <w:tab/>
        <w:tab/>
      </w:r>
    </w:p>
    <w:p>
      <w:pPr>
        <w:pStyle w:val="Normal"/>
        <w:rPr>
          <w:u w:val="single"/>
        </w:rPr>
      </w:pPr>
      <w:r>
        <w:rPr>
          <w:u w:val="single"/>
        </w:rPr>
      </w:r>
    </w:p>
    <w:p>
      <w:pPr>
        <w:pStyle w:val="Normal"/>
        <w:jc w:val="both"/>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pPr>
      <w:r>
        <w:rPr/>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 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sectPr>
      <w:headerReference w:type="default" r:id="rId7"/>
      <w:headerReference w:type="first" r:id="rId8"/>
      <w:footerReference w:type="default" r:id="rId9"/>
      <w:footerReference w:type="first" r:id="rId10"/>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/mnt/main-storage/datasets/enron-docs/doc/Cheyenne_Light_Power_Fuel__Power__Confirm_.doc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Cheyenne Light, Power, Fuel &amp; Power Company</w:t>
    </w:r>
  </w:p>
  <w:p>
    <w:pPr>
      <w:pStyle w:val="Header"/>
      <w:rPr/>
    </w:pPr>
    <w:r>
      <w:rPr/>
      <w:t>August 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2001-07-27T13:55:00Z</dcterms:created>
  <dc:creator>ECT</dc:creator>
  <dc:description/>
  <dc:language>en-CA</dc:language>
  <cp:lastModifiedBy>jrozycki</cp:lastModifiedBy>
  <cp:lastPrinted>2001-08-01T14:41:00Z</cp:lastPrinted>
  <dcterms:modified xsi:type="dcterms:W3CDTF">2001-08-01T17:12:00Z</dcterms:modified>
  <cp:revision>9</cp:revision>
  <dc:subject>Municipal Gas Authority of Georgia</dc:subject>
  <dc:title>V66760.4</dc:title>
</cp:coreProperties>
</file>