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Header"/>
              <w:tabs>
                <w:tab w:val="clear" w:pos="4320"/>
                <w:tab w:val="clear" w:pos="8640"/>
              </w:tabs>
              <w:rPr/>
            </w:pPr>
            <w:r>
              <w:rPr/>
              <w:drawing>
                <wp:inline distT="0" distB="0" distL="0" distR="0">
                  <wp:extent cx="1091565" cy="108585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91565" cy="1085850"/>
                          </a:xfrm>
                          <a:prstGeom prst="rect">
                            <a:avLst/>
                          </a:prstGeom>
                          <a:noFill/>
                        </pic:spPr>
                      </pic:pic>
                    </a:graphicData>
                  </a:graphic>
                </wp:inline>
              </w:drawing>
            </w:r>
          </w:p>
        </w:tc>
        <w:tc>
          <w:tcPr>
            <w:tcW w:w="4788" w:type="dxa"/>
            <w:tcBorders/>
          </w:tcPr>
          <w:p>
            <w:pPr>
              <w:pStyle w:val="Normal"/>
              <w:tabs>
                <w:tab w:val="clear" w:pos="720"/>
                <w:tab w:val="left" w:pos="2412" w:leader="none"/>
              </w:tabs>
              <w:ind w:start="1962" w:end="0"/>
              <w:rPr>
                <w:b/>
              </w:rPr>
            </w:pPr>
            <w:r>
              <w:rPr>
                <w:b/>
              </w:rPr>
              <w:fldChar w:fldCharType="begin"/>
            </w:r>
            <w:r>
              <w:rPr>
                <w:b/>
              </w:rPr>
              <w:instrText xml:space="preserve"> MERGEFIELD EnronEntityName </w:instrText>
            </w:r>
            <w:r>
              <w:rPr>
                <w:b/>
              </w:rPr>
              <w:fldChar w:fldCharType="separate"/>
            </w:r>
            <w:r>
              <w:rPr>
                <w:b/>
              </w:rPr>
              <w:t>Enron North America Corp.</w:t>
            </w:r>
            <w:r>
              <w:rPr>
                <w:b/>
              </w:rPr>
              <w:fldChar w:fldCharType="end"/>
            </w:r>
          </w:p>
          <w:p>
            <w:pPr>
              <w:pStyle w:val="Normal"/>
              <w:tabs>
                <w:tab w:val="clear" w:pos="720"/>
                <w:tab w:val="left" w:pos="2412" w:leader="none"/>
              </w:tabs>
              <w:ind w:start="1962" w:end="0"/>
              <w:rPr>
                <w:i/>
                <w:i/>
                <w:sz w:val="18"/>
              </w:rPr>
            </w:pPr>
            <w:r>
              <w:rPr>
                <w:i/>
                <w:sz w:val="18"/>
              </w:rPr>
              <w:t>P.O. Box 4428</w:t>
            </w:r>
          </w:p>
          <w:p>
            <w:pPr>
              <w:pStyle w:val="Normal"/>
              <w:tabs>
                <w:tab w:val="clear" w:pos="720"/>
                <w:tab w:val="left" w:pos="2412" w:leader="none"/>
              </w:tabs>
              <w:ind w:start="1962" w:end="0"/>
              <w:rPr>
                <w:i/>
                <w:i/>
                <w:sz w:val="18"/>
              </w:rPr>
            </w:pPr>
            <w:r>
              <w:rPr>
                <w:i/>
                <w:sz w:val="18"/>
              </w:rPr>
              <w:t>Houston, TX  77210-4428</w:t>
            </w:r>
          </w:p>
          <w:p>
            <w:pPr>
              <w:pStyle w:val="Normal"/>
              <w:tabs>
                <w:tab w:val="clear" w:pos="720"/>
                <w:tab w:val="left" w:pos="2412" w:leader="none"/>
              </w:tabs>
              <w:ind w:start="1962" w:end="0"/>
              <w:rPr>
                <w:i/>
                <w:i/>
                <w:sz w:val="18"/>
              </w:rPr>
            </w:pPr>
            <w:r>
              <w:rPr>
                <w:i/>
                <w:sz w:val="18"/>
              </w:rPr>
              <w:t>Phone (713) 853-3300</w:t>
            </w:r>
          </w:p>
          <w:p>
            <w:pPr>
              <w:pStyle w:val="Normal"/>
              <w:tabs>
                <w:tab w:val="clear" w:pos="720"/>
                <w:tab w:val="left" w:pos="2412" w:leader="none"/>
              </w:tabs>
              <w:ind w:start="1962" w:end="0"/>
              <w:rPr>
                <w:i/>
                <w:i/>
                <w:sz w:val="18"/>
              </w:rPr>
            </w:pPr>
            <w:r>
              <w:rPr>
                <w:i/>
                <w:sz w:val="18"/>
              </w:rPr>
              <w:t>Fax (713) 646-4816</w:t>
            </w:r>
          </w:p>
        </w:tc>
      </w:tr>
    </w:tbl>
    <w:p>
      <w:pPr>
        <w:pStyle w:val="Header"/>
        <w:rPr/>
      </w:pPr>
      <w:r>
        <w:rPr/>
      </w:r>
    </w:p>
    <w:p>
      <w:pPr>
        <w:pStyle w:val="Normal"/>
        <w:rPr/>
      </w:pPr>
      <w:r>
        <w:rPr/>
      </w:r>
    </w:p>
    <w:p>
      <w:pPr>
        <w:pStyle w:val="Normal"/>
        <w:jc w:val="center"/>
        <w:rPr/>
      </w:pPr>
      <w:r>
        <w:rPr/>
        <w:t>July    ,   2001</w:t>
      </w:r>
    </w:p>
    <w:p>
      <w:pPr>
        <w:pStyle w:val="Normal"/>
        <w:rPr/>
      </w:pPr>
      <w:r>
        <w:rPr/>
      </w:r>
    </w:p>
    <w:p>
      <w:pPr>
        <w:pStyle w:val="Normal"/>
        <w:rPr/>
      </w:pPr>
      <w:r>
        <w:rPr/>
        <w:t>Cheyenne Light, Power, Fuel &amp; Power Company</w:t>
      </w:r>
    </w:p>
    <w:p>
      <w:pPr>
        <w:pStyle w:val="Normal"/>
        <w:rPr/>
      </w:pPr>
      <w:r>
        <w:rPr/>
        <w:t>(address )</w:t>
      </w:r>
      <w:r>
        <w:rPr/>
        <w:fldChar w:fldCharType="begin"/>
      </w:r>
      <w:r>
        <w:rPr/>
        <w:instrText xml:space="preserve"> MERGEFIELD CounterpartyAddrCity </w:instrText>
      </w:r>
      <w:r>
        <w:rPr/>
        <w:fldChar w:fldCharType="separate"/>
      </w:r>
      <w:r>
        <w:rPr/>
      </w:r>
      <w:r>
        <w:rPr/>
        <w:fldChar w:fldCharType="end"/>
      </w:r>
      <w:r>
        <w:rPr/>
        <w:t xml:space="preserve">  </w:t>
      </w:r>
      <w:r>
        <w:rPr/>
        <w:fldChar w:fldCharType="begin"/>
      </w:r>
      <w:r>
        <w:rPr/>
        <w:instrText xml:space="preserve"> MERGEFIELD CounterpartyAddrState </w:instrText>
      </w:r>
      <w:r>
        <w:rPr/>
        <w:fldChar w:fldCharType="separate"/>
      </w:r>
      <w:r>
        <w:rPr/>
      </w:r>
      <w:r>
        <w:rPr/>
        <w:fldChar w:fldCharType="end"/>
      </w:r>
      <w:r>
        <w:rPr/>
        <w:t xml:space="preserve">  </w:t>
      </w:r>
      <w:r>
        <w:rPr/>
        <w:fldChar w:fldCharType="begin"/>
      </w:r>
      <w:r>
        <w:rPr/>
        <w:instrText xml:space="preserve"> MERGEFIELD CounterpartyAddrZip </w:instrText>
      </w:r>
      <w:r>
        <w:rPr/>
        <w:fldChar w:fldCharType="separate"/>
      </w:r>
      <w:r>
        <w:rPr/>
      </w:r>
      <w:r>
        <w:rPr/>
        <w:fldChar w:fldCharType="end"/>
      </w:r>
    </w:p>
    <w:p>
      <w:pPr>
        <w:pStyle w:val="Normal"/>
        <w:rPr/>
      </w:pPr>
      <w:r>
        <w:rPr/>
      </w:r>
    </w:p>
    <w:p>
      <w:pPr>
        <w:pStyle w:val="Normal"/>
        <w:numPr>
          <w:ilvl w:val="0"/>
          <w:numId w:val="0"/>
        </w:numPr>
        <w:outlineLvl w:val="0"/>
        <w:rPr/>
      </w:pPr>
      <w:r>
        <w:rPr/>
        <w:t>Attn:  (                )</w:t>
      </w:r>
    </w:p>
    <w:p>
      <w:pPr>
        <w:pStyle w:val="Normal"/>
        <w:rPr/>
      </w:pPr>
      <w:r>
        <w:rPr/>
        <w:t>Fax No.:  (           )</w:t>
      </w:r>
    </w:p>
    <w:p>
      <w:pPr>
        <w:pStyle w:val="Normal"/>
        <w:rPr/>
      </w:pPr>
      <w:r>
        <w:rPr/>
        <w:t>Trans. No.:   (            )</w:t>
      </w:r>
    </w:p>
    <w:p>
      <w:pPr>
        <w:pStyle w:val="Normal"/>
        <w:rPr/>
      </w:pPr>
      <w:r>
        <w:rPr/>
      </w:r>
    </w:p>
    <w:p>
      <w:pPr>
        <w:pStyle w:val="Normal"/>
        <w:jc w:val="center"/>
        <w:rPr/>
      </w:pPr>
      <w:r>
        <w:rPr>
          <w:b/>
        </w:rPr>
        <w:t>ENFOLIO</w:t>
      </w:r>
      <w:r>
        <w:rPr>
          <w:rFonts w:ascii="Symbol" w:hAnsi="Symbol"/>
          <w:b/>
          <w:position w:val="6"/>
        </w:rPr>
        <w:sym w:font="Symbol" w:char="e2"/>
      </w:r>
      <w:r>
        <w:rPr>
          <w:b/>
          <w:position w:val="6"/>
        </w:rPr>
        <w:t xml:space="preserve"> </w:t>
      </w:r>
      <w:r>
        <w:rPr>
          <w:b/>
        </w:rPr>
        <w:t>FIRM  CONFIRMATION--ENFOLIO</w:t>
      </w:r>
      <w:r>
        <w:rPr>
          <w:rFonts w:ascii="Symbol" w:hAnsi="Symbol"/>
          <w:b/>
          <w:position w:val="6"/>
        </w:rPr>
        <w:sym w:font="Symbol" w:char="e2"/>
      </w:r>
      <w:r>
        <w:rPr>
          <w:b/>
          <w:position w:val="6"/>
        </w:rPr>
        <w:t xml:space="preserve"> </w:t>
      </w:r>
      <w:r>
        <w:rPr>
          <w:b/>
        </w:rPr>
        <w:t>FIRM GENERAL TERMS &amp; CONDITIONS GOVERN</w:t>
      </w:r>
    </w:p>
    <w:p>
      <w:pPr>
        <w:pStyle w:val="Normal"/>
        <w:jc w:val="center"/>
        <w:rPr>
          <w:b/>
        </w:rPr>
      </w:pPr>
      <w:r>
        <w:rPr>
          <w:b/>
        </w:rPr>
      </w:r>
    </w:p>
    <w:p>
      <w:pPr>
        <w:pStyle w:val="Normal"/>
        <w:jc w:val="both"/>
        <w:rPr/>
      </w:pPr>
      <w:r>
        <w:rPr/>
        <w:t xml:space="preserve">This Confirmation shall confirm the transaction agreed to on July __, 2001 and binding between  Cheyenne Light, Power, Fuel &amp; Power Company ("Customer") and </w:t>
      </w:r>
      <w:r>
        <w:rPr/>
        <w:fldChar w:fldCharType="begin"/>
      </w:r>
      <w:r>
        <w:rPr/>
        <w:instrText xml:space="preserve"> MERGEFIELD EnronEntityName </w:instrText>
      </w:r>
      <w:r>
        <w:rPr/>
        <w:fldChar w:fldCharType="separate"/>
      </w:r>
      <w:r>
        <w:rPr/>
        <w:t>Enron North America Corp.</w:t>
      </w:r>
      <w:r>
        <w:rPr/>
        <w:fldChar w:fldCharType="end"/>
      </w:r>
      <w:r>
        <w:rPr/>
        <w:t xml:space="preserve"> ("</w:t>
      </w:r>
      <w:r>
        <w:rPr/>
        <w:fldChar w:fldCharType="begin"/>
      </w:r>
      <w:r>
        <w:rPr/>
        <w:instrText xml:space="preserve"> MERGEFIELD EnronEntityCode </w:instrText>
      </w:r>
      <w:r>
        <w:rPr/>
        <w:fldChar w:fldCharType="separate"/>
      </w:r>
      <w:r>
        <w:rPr/>
        <w:t>ENA</w:t>
      </w:r>
      <w:r>
        <w:rPr/>
        <w:fldChar w:fldCharType="end"/>
      </w:r>
      <w:r>
        <w:rPr/>
        <w:t xml:space="preserve">" and "Company") regarding the purchase and sale of gas on the following terms. </w:t>
      </w:r>
      <w:r>
        <w:rPr/>
        <w:fldChar w:fldCharType="begin"/>
      </w:r>
      <w:r>
        <w:rPr/>
        <w:instrText xml:space="preserve"> MERGEFIELD Buyer </w:instrText>
      </w:r>
      <w:r>
        <w:rPr/>
        <w:fldChar w:fldCharType="separate"/>
      </w:r>
      <w:r>
        <w:rPr/>
        <w:t>Customer</w:t>
      </w:r>
      <w:r>
        <w:rPr/>
        <w:fldChar w:fldCharType="end"/>
      </w:r>
      <w:r>
        <w:rPr/>
        <w:t xml:space="preserve"> to purchase and receive ("Buyer") and </w:t>
      </w:r>
      <w:r>
        <w:rPr/>
        <w:fldChar w:fldCharType="begin"/>
      </w:r>
      <w:r>
        <w:rPr/>
        <w:instrText xml:space="preserve"> MERGEFIELD Seller </w:instrText>
      </w:r>
      <w:r>
        <w:rPr/>
        <w:fldChar w:fldCharType="separate"/>
      </w:r>
      <w:r>
        <w:rPr/>
        <w:t>Company</w:t>
      </w:r>
      <w:r>
        <w:rPr/>
        <w:fldChar w:fldCharType="end"/>
      </w:r>
      <w:r>
        <w:rPr/>
        <w:t xml:space="preserve"> to sell and deliver ("Seller").</w:t>
      </w:r>
    </w:p>
    <w:p>
      <w:pPr>
        <w:pStyle w:val="Normal"/>
        <w:rPr>
          <w:b/>
        </w:rPr>
      </w:pPr>
      <w:r>
        <w:rPr>
          <w:b/>
        </w:rPr>
      </w:r>
    </w:p>
    <w:tbl>
      <w:tblPr>
        <w:tblW w:w="9576" w:type="dxa"/>
        <w:jc w:val="start"/>
        <w:tblInd w:w="0" w:type="dxa"/>
        <w:tblLayout w:type="fixed"/>
        <w:tblCellMar>
          <w:top w:w="0" w:type="dxa"/>
          <w:start w:w="108" w:type="dxa"/>
          <w:bottom w:w="0" w:type="dxa"/>
          <w:end w:w="108" w:type="dxa"/>
        </w:tblCellMar>
      </w:tblPr>
      <w:tblGrid>
        <w:gridCol w:w="3258"/>
        <w:gridCol w:w="6318"/>
      </w:tblGrid>
      <w:tr>
        <w:trPr/>
        <w:tc>
          <w:tcPr>
            <w:tcW w:w="3258" w:type="dxa"/>
            <w:tcBorders/>
          </w:tcPr>
          <w:p>
            <w:pPr>
              <w:pStyle w:val="Normal"/>
              <w:rPr>
                <w:b/>
              </w:rPr>
            </w:pPr>
            <w:r>
              <w:rPr>
                <w:b/>
              </w:rPr>
              <w:t>DESIGNATED DAILY  QUANTITY:</w:t>
            </w:r>
          </w:p>
        </w:tc>
        <w:tc>
          <w:tcPr>
            <w:tcW w:w="6318" w:type="dxa"/>
            <w:tcBorders/>
          </w:tcPr>
          <w:p>
            <w:pPr>
              <w:pStyle w:val="Normal"/>
              <w:jc w:val="both"/>
              <w:rPr>
                <w:b/>
              </w:rPr>
            </w:pPr>
            <w:r>
              <w:rPr/>
              <w:t xml:space="preserve">0 to 10,000  </w:t>
            </w:r>
            <w:r>
              <w:rPr>
                <w:b/>
              </w:rPr>
              <w:t xml:space="preserve"> </w:t>
            </w:r>
            <w:r>
              <w:rPr>
                <w:bCs/>
              </w:rPr>
              <w:t>MMBtus a day</w:t>
            </w:r>
          </w:p>
        </w:tc>
      </w:tr>
      <w:tr>
        <w:trPr/>
        <w:tc>
          <w:tcPr>
            <w:tcW w:w="3258" w:type="dxa"/>
            <w:tcBorders/>
          </w:tcPr>
          <w:p>
            <w:pPr>
              <w:pStyle w:val="Normal"/>
              <w:snapToGrid w:val="false"/>
              <w:rPr>
                <w:b/>
              </w:rPr>
            </w:pPr>
            <w:r>
              <w:rPr>
                <w:b/>
              </w:rPr>
            </w:r>
          </w:p>
        </w:tc>
        <w:tc>
          <w:tcPr>
            <w:tcW w:w="6318" w:type="dxa"/>
            <w:tcBorders/>
          </w:tcPr>
          <w:p>
            <w:pPr>
              <w:pStyle w:val="Normal"/>
              <w:snapToGrid w:val="false"/>
              <w:rPr>
                <w:b/>
              </w:rPr>
            </w:pPr>
            <w:r>
              <w:rPr>
                <w:b/>
              </w:rPr>
            </w:r>
          </w:p>
        </w:tc>
      </w:tr>
      <w:tr>
        <w:trPr/>
        <w:tc>
          <w:tcPr>
            <w:tcW w:w="3258" w:type="dxa"/>
            <w:tcBorders/>
          </w:tcPr>
          <w:p>
            <w:pPr>
              <w:pStyle w:val="Normal"/>
              <w:rPr>
                <w:b/>
              </w:rPr>
            </w:pPr>
            <w:r>
              <w:rPr>
                <w:b/>
              </w:rPr>
              <w:t>DELIVERY POINT(S):</w:t>
            </w:r>
          </w:p>
        </w:tc>
        <w:tc>
          <w:tcPr>
            <w:tcW w:w="6318" w:type="dxa"/>
            <w:tcBorders/>
          </w:tcPr>
          <w:p>
            <w:pPr>
              <w:pStyle w:val="Normal"/>
              <w:jc w:val="both"/>
              <w:rPr/>
            </w:pPr>
            <w:r>
              <w:rPr>
                <w:bCs/>
              </w:rPr>
              <w:t xml:space="preserve">Customer’s at  Chalk Bluffs Meter No. </w:t>
            </w:r>
            <w:r>
              <w:rPr>
                <w:bCs/>
                <w:u w:val="single"/>
              </w:rPr>
              <w:t xml:space="preserve">                    </w:t>
            </w:r>
            <w:r>
              <w:rPr>
                <w:bCs/>
              </w:rPr>
              <w:t xml:space="preserve"> .</w:t>
            </w:r>
          </w:p>
        </w:tc>
      </w:tr>
      <w:tr>
        <w:trPr/>
        <w:tc>
          <w:tcPr>
            <w:tcW w:w="3258" w:type="dxa"/>
            <w:tcBorders/>
          </w:tcPr>
          <w:p>
            <w:pPr>
              <w:pStyle w:val="Normal"/>
              <w:snapToGrid w:val="false"/>
              <w:rPr>
                <w:b/>
                <w:bCs/>
              </w:rPr>
            </w:pPr>
            <w:r>
              <w:rPr>
                <w:b/>
                <w:bCs/>
              </w:rPr>
            </w:r>
          </w:p>
        </w:tc>
        <w:tc>
          <w:tcPr>
            <w:tcW w:w="6318" w:type="dxa"/>
            <w:tcBorders/>
          </w:tcPr>
          <w:p>
            <w:pPr>
              <w:pStyle w:val="Normal"/>
              <w:snapToGrid w:val="false"/>
              <w:rPr>
                <w:b/>
              </w:rPr>
            </w:pPr>
            <w:r>
              <w:rPr>
                <w:b/>
              </w:rPr>
            </w:r>
          </w:p>
        </w:tc>
      </w:tr>
      <w:tr>
        <w:trPr/>
        <w:tc>
          <w:tcPr>
            <w:tcW w:w="3258" w:type="dxa"/>
            <w:tcBorders/>
          </w:tcPr>
          <w:p>
            <w:pPr>
              <w:pStyle w:val="Normal"/>
              <w:rPr>
                <w:b/>
              </w:rPr>
            </w:pPr>
            <w:r>
              <w:rPr>
                <w:b/>
              </w:rPr>
              <w:t>PERIOD OF DELIVERY:</w:t>
            </w:r>
          </w:p>
        </w:tc>
        <w:tc>
          <w:tcPr>
            <w:tcW w:w="6318" w:type="dxa"/>
            <w:tcBorders/>
          </w:tcPr>
          <w:p>
            <w:pPr>
              <w:pStyle w:val="Normal"/>
              <w:jc w:val="both"/>
              <w:rPr>
                <w:bCs/>
              </w:rPr>
            </w:pPr>
            <w:r>
              <w:rPr>
                <w:bCs/>
              </w:rPr>
              <w:t>December 1, 2001 through February 28, 2002</w:t>
            </w:r>
          </w:p>
        </w:tc>
      </w:tr>
      <w:tr>
        <w:trPr/>
        <w:tc>
          <w:tcPr>
            <w:tcW w:w="3258" w:type="dxa"/>
            <w:tcBorders/>
          </w:tcPr>
          <w:p>
            <w:pPr>
              <w:pStyle w:val="Normal"/>
              <w:snapToGrid w:val="false"/>
              <w:rPr>
                <w:b/>
                <w:bCs/>
              </w:rPr>
            </w:pPr>
            <w:r>
              <w:rPr>
                <w:b/>
                <w:bCs/>
              </w:rPr>
            </w:r>
          </w:p>
        </w:tc>
        <w:tc>
          <w:tcPr>
            <w:tcW w:w="6318" w:type="dxa"/>
            <w:tcBorders/>
          </w:tcPr>
          <w:p>
            <w:pPr>
              <w:pStyle w:val="Normal"/>
              <w:snapToGrid w:val="false"/>
              <w:rPr>
                <w:b/>
              </w:rPr>
            </w:pPr>
            <w:r>
              <w:rPr>
                <w:b/>
              </w:rPr>
            </w:r>
          </w:p>
        </w:tc>
      </w:tr>
      <w:tr>
        <w:trPr/>
        <w:tc>
          <w:tcPr>
            <w:tcW w:w="3258" w:type="dxa"/>
            <w:tcBorders/>
          </w:tcPr>
          <w:p>
            <w:pPr>
              <w:pStyle w:val="Normal"/>
              <w:rPr>
                <w:b/>
              </w:rPr>
            </w:pPr>
            <w:r>
              <w:rPr>
                <w:b/>
              </w:rPr>
              <w:t>CONTRACT PRICE (PER MMBTU):</w:t>
            </w:r>
          </w:p>
        </w:tc>
        <w:tc>
          <w:tcPr>
            <w:tcW w:w="6318" w:type="dxa"/>
            <w:tcBorders/>
          </w:tcPr>
          <w:p>
            <w:pPr>
              <w:pStyle w:val="Normal"/>
              <w:jc w:val="both"/>
              <w:rPr>
                <w:bCs/>
              </w:rPr>
            </w:pPr>
            <w:r>
              <w:rPr>
                <w:bCs/>
              </w:rPr>
              <w:t>The Contract Price shall be the “Daily Midpoint” price set forth in Gas Daily® (Financial Times Energy), or successor publication, in the column "Daily Price Survey" under the listing for  "Cheyenne Hub"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w:t>
            </w:r>
          </w:p>
        </w:tc>
      </w:tr>
      <w:tr>
        <w:trPr/>
        <w:tc>
          <w:tcPr>
            <w:tcW w:w="3258" w:type="dxa"/>
            <w:tcBorders/>
          </w:tcPr>
          <w:p>
            <w:pPr>
              <w:pStyle w:val="Normal"/>
              <w:rPr>
                <w:b/>
              </w:rPr>
            </w:pPr>
            <w:r>
              <w:rPr>
                <w:b/>
              </w:rPr>
              <w:t>OTHER:</w:t>
            </w:r>
          </w:p>
        </w:tc>
        <w:tc>
          <w:tcPr>
            <w:tcW w:w="6318" w:type="dxa"/>
            <w:tcBorders/>
          </w:tcPr>
          <w:p>
            <w:pPr>
              <w:pStyle w:val="Normal"/>
              <w:rPr>
                <w:bCs/>
              </w:rPr>
            </w:pPr>
            <w:r>
              <w:rPr>
                <w:bCs/>
              </w:rPr>
              <w:t>1.  Buyer agrees that in addition to the Contract Price, a “Demand Charge” shall be paid to Seller within fifteen (15) days of receipt of Seller's invoice thereof.  The Demand Charge shall be an amount equal to $0.01 MMBtu multiplied by 10,000 MMBtus, further multiplied by the number of days in the Period of Delivery.</w:t>
            </w:r>
            <w:r>
              <w:rPr>
                <w:bCs/>
                <w:u w:val="single"/>
              </w:rPr>
              <w:t xml:space="preserve"> </w:t>
            </w:r>
          </w:p>
          <w:p>
            <w:pPr>
              <w:pStyle w:val="Normal"/>
              <w:rPr>
                <w:bCs/>
              </w:rPr>
            </w:pPr>
            <w:r>
              <w:rPr>
                <w:bCs/>
              </w:rPr>
              <w:t>2.  Buyer agrees that nominations shall be made no later than  8:00 a.m. Central Standard Time one day prior to the day of delivery.</w:t>
            </w:r>
          </w:p>
          <w:p>
            <w:pPr>
              <w:pStyle w:val="Normal"/>
              <w:jc w:val="both"/>
              <w:rPr>
                <w:bCs/>
              </w:rPr>
            </w:pPr>
            <w:r>
              <w:rPr>
                <w:bCs/>
              </w:rPr>
            </w:r>
          </w:p>
        </w:tc>
      </w:tr>
    </w:tbl>
    <w:p>
      <w:pPr>
        <w:pStyle w:val="Normal"/>
        <w:ind w:start="3300" w:end="0"/>
        <w:rPr>
          <w:bCs/>
        </w:rPr>
      </w:pPr>
      <w:r>
        <w:rPr>
          <w:bCs/>
        </w:rPr>
      </w:r>
    </w:p>
    <w:p>
      <w:pPr>
        <w:pStyle w:val="Normal"/>
        <w:jc w:val="both"/>
        <w:rPr>
          <w:b/>
        </w:rPr>
      </w:pPr>
      <w:r>
        <w:rPr>
          <w:b/>
        </w:rPr>
        <w:tab/>
      </w:r>
    </w:p>
    <w:p>
      <w:pPr>
        <w:pStyle w:val="Normal"/>
        <w:numPr>
          <w:ilvl w:val="0"/>
          <w:numId w:val="0"/>
        </w:numPr>
        <w:outlineLvl w:val="0"/>
        <w:rPr>
          <w:b/>
        </w:rPr>
      </w:pPr>
      <w:r>
        <w:rPr>
          <w:b/>
        </w:rPr>
        <w:t>NOTICE AND COMMUNICATION TO COMPANY, AS FOLLOWS:</w:t>
      </w:r>
    </w:p>
    <w:p>
      <w:pPr>
        <w:pStyle w:val="Normal"/>
        <w:numPr>
          <w:ilvl w:val="0"/>
          <w:numId w:val="0"/>
        </w:numPr>
        <w:outlineLvl w:val="0"/>
        <w:rPr>
          <w:b/>
        </w:rPr>
      </w:pPr>
      <w:r>
        <w:rPr>
          <w:b/>
        </w:rPr>
        <w:t>NOTICES/CORRESPONDENCE:</w:t>
      </w:r>
    </w:p>
    <w:p>
      <w:pPr>
        <w:pStyle w:val="Normal"/>
        <w:numPr>
          <w:ilvl w:val="0"/>
          <w:numId w:val="0"/>
        </w:numPr>
        <w:outlineLvl w:val="0"/>
        <w:rPr/>
      </w:pPr>
      <w:r>
        <w:rPr/>
        <w:t>P.O. Box 4428</w:t>
      </w:r>
    </w:p>
    <w:p>
      <w:pPr>
        <w:pStyle w:val="Normal"/>
        <w:rPr/>
      </w:pPr>
      <w:r>
        <w:rPr/>
        <w:t>Houston, Texas 77210-4428</w:t>
      </w:r>
    </w:p>
    <w:p>
      <w:pPr>
        <w:pStyle w:val="Normal"/>
        <w:rPr/>
      </w:pPr>
      <w:r>
        <w:rPr/>
        <w:t>Attn: Documentation and Deal Clearing</w:t>
      </w:r>
    </w:p>
    <w:p>
      <w:pPr>
        <w:pStyle w:val="Normal"/>
        <w:rPr/>
      </w:pPr>
      <w:r>
        <w:rPr/>
        <w:t>Facsimile No. (713) 646-4816</w:t>
      </w:r>
    </w:p>
    <w:p>
      <w:pPr>
        <w:pStyle w:val="Normal"/>
        <w:rPr/>
      </w:pPr>
      <w:r>
        <w:rPr/>
        <w:t>Termination Notice Facsimile No. (713) 646-4816</w:t>
      </w:r>
    </w:p>
    <w:p>
      <w:pPr>
        <w:pStyle w:val="Normal"/>
        <w:numPr>
          <w:ilvl w:val="0"/>
          <w:numId w:val="0"/>
        </w:numPr>
        <w:outlineLvl w:val="0"/>
        <w:rPr>
          <w:b/>
        </w:rPr>
      </w:pPr>
      <w:r>
        <w:rPr>
          <w:b/>
        </w:rPr>
        <w:t>INVOICES:</w:t>
      </w:r>
    </w:p>
    <w:p>
      <w:pPr>
        <w:pStyle w:val="Normal"/>
        <w:numPr>
          <w:ilvl w:val="0"/>
          <w:numId w:val="0"/>
        </w:numPr>
        <w:outlineLvl w:val="0"/>
        <w:rPr/>
      </w:pPr>
      <w:r>
        <w:rPr/>
        <w:t>P.O. Box 4428</w:t>
      </w:r>
    </w:p>
    <w:p>
      <w:pPr>
        <w:pStyle w:val="Normal"/>
        <w:rPr/>
      </w:pPr>
      <w:r>
        <w:rPr/>
        <w:t>Houston, Texas 77210-4428</w:t>
      </w:r>
    </w:p>
    <w:p>
      <w:pPr>
        <w:pStyle w:val="Normal"/>
        <w:rPr/>
      </w:pPr>
      <w:r>
        <w:rPr/>
        <w:t>Attn: Client Services</w:t>
      </w:r>
    </w:p>
    <w:p>
      <w:pPr>
        <w:pStyle w:val="Normal"/>
        <w:rPr/>
      </w:pPr>
      <w:r>
        <w:rPr/>
        <w:t>Facsimile No. (713) 646-8420</w:t>
      </w:r>
    </w:p>
    <w:p>
      <w:pPr>
        <w:pStyle w:val="Normal"/>
        <w:numPr>
          <w:ilvl w:val="0"/>
          <w:numId w:val="0"/>
        </w:numPr>
        <w:outlineLvl w:val="0"/>
        <w:rPr>
          <w:b/>
        </w:rPr>
      </w:pPr>
      <w:r>
        <w:rPr>
          <w:b/>
        </w:rPr>
        <w:t>PAYMENTS:</w:t>
      </w:r>
    </w:p>
    <w:p>
      <w:pPr>
        <w:pStyle w:val="Normal"/>
        <w:rPr/>
      </w:pPr>
      <w:r>
        <w:rPr/>
        <w:fldChar w:fldCharType="begin"/>
      </w:r>
      <w:r>
        <w:rPr/>
        <w:instrText xml:space="preserve"> MERGEFIELD EnronEntityName </w:instrText>
      </w:r>
      <w:r>
        <w:rPr/>
        <w:fldChar w:fldCharType="separate"/>
      </w:r>
      <w:r>
        <w:rPr/>
        <w:t>Enron North America Corp.</w:t>
      </w:r>
      <w:r>
        <w:rPr/>
        <w:fldChar w:fldCharType="end"/>
      </w:r>
    </w:p>
    <w:p>
      <w:pPr>
        <w:pStyle w:val="Normal"/>
        <w:rPr/>
      </w:pPr>
      <w:r>
        <w:rPr/>
        <w:t>ABA Routing 111000012 / Bank of America / Account 3750494099</w:t>
      </w:r>
    </w:p>
    <w:p>
      <w:pPr>
        <w:pStyle w:val="Normal"/>
        <w:numPr>
          <w:ilvl w:val="0"/>
          <w:numId w:val="0"/>
        </w:numPr>
        <w:outlineLvl w:val="0"/>
        <w:rPr>
          <w:b/>
        </w:rPr>
      </w:pPr>
      <w:r>
        <w:rPr>
          <w:b/>
        </w:rPr>
        <w:t>NOMINATIONS TO COMPANY:</w:t>
      </w:r>
    </w:p>
    <w:p>
      <w:pPr>
        <w:pStyle w:val="Normal"/>
        <w:rPr/>
      </w:pPr>
      <w:r>
        <w:rPr/>
        <w:t>1(800)356-9427/1(800)FLOWGAS</w:t>
      </w:r>
    </w:p>
    <w:p>
      <w:pPr>
        <w:pStyle w:val="Normal"/>
        <w:numPr>
          <w:ilvl w:val="0"/>
          <w:numId w:val="0"/>
        </w:numPr>
        <w:outlineLvl w:val="0"/>
        <w:rPr>
          <w:b/>
        </w:rPr>
      </w:pPr>
      <w:r>
        <w:rPr>
          <w:b/>
        </w:rPr>
        <w:t>SCHEDULING CONFIRMATIONS TO COMPANY:</w:t>
      </w:r>
    </w:p>
    <w:p>
      <w:pPr>
        <w:pStyle w:val="Normal"/>
        <w:numPr>
          <w:ilvl w:val="0"/>
          <w:numId w:val="0"/>
        </w:numPr>
        <w:outlineLvl w:val="0"/>
        <w:rPr/>
      </w:pPr>
      <w:r>
        <w:rPr/>
        <w:t xml:space="preserve">Attn: </w:t>
      </w:r>
      <w:r>
        <w:rPr/>
        <w:fldChar w:fldCharType="begin"/>
      </w:r>
      <w:r>
        <w:rPr/>
        <w:instrText xml:space="preserve"> MERGEFIELD EnronEntityCode </w:instrText>
      </w:r>
      <w:r>
        <w:rPr/>
        <w:fldChar w:fldCharType="separate"/>
      </w:r>
      <w:r>
        <w:rPr/>
        <w:t>ENA</w:t>
      </w:r>
      <w:r>
        <w:rPr/>
        <w:fldChar w:fldCharType="end"/>
      </w:r>
      <w:r>
        <w:rPr/>
        <w:t xml:space="preserve"> Gas Trading</w:t>
      </w:r>
    </w:p>
    <w:p>
      <w:pPr>
        <w:pStyle w:val="Normal"/>
        <w:rPr/>
      </w:pPr>
      <w:r>
        <w:rPr/>
        <w:t>Facsimile No.: (713) 646-2531</w:t>
      </w:r>
    </w:p>
    <w:p>
      <w:pPr>
        <w:pStyle w:val="Normal"/>
        <w:jc w:val="both"/>
        <w:rPr/>
      </w:pPr>
      <w:r>
        <w:rPr/>
      </w:r>
    </w:p>
    <w:p>
      <w:pPr>
        <w:pStyle w:val="Normal"/>
        <w:jc w:val="both"/>
        <w:rPr/>
      </w:pPr>
      <w:r>
        <w:rPr/>
        <w:t>Each party shall not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Firm GTC (defined below)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jc w:val="both"/>
        <w:rPr/>
      </w:pPr>
      <w:r>
        <w:rPr/>
      </w:r>
    </w:p>
    <w:p>
      <w:pPr>
        <w:pStyle w:val="Normal"/>
        <w:jc w:val="both"/>
        <w:rPr/>
      </w:pPr>
      <w:r>
        <w:rPr/>
        <w:t>This Confirmation is being provided pursuant to and in accordance with the ENFOLIO FIRM GENERAL TERMS &amp; CONDITIONS (the "Firm GTC") and constitutes part of and is subject to all of the provisions of the Firm GTC.  Company does hereby adopt its letterhead, including its address, as its signature in respect of the identification of Company and the authentication by Company of this Confirmation.  Any objection of Counterparty to this Confirmation must be made by written notice to Company within 10 days receipt of same.</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sz w:val="16"/>
        </w:rPr>
      </w:pPr>
      <w:r>
        <w:rPr>
          <w:sz w:val="16"/>
        </w:rPr>
      </w:r>
    </w:p>
    <w:sectPr>
      <w:headerReference w:type="default" r:id="rId3"/>
      <w:headerReference w:type="first" r:id="rId4"/>
      <w:footerReference w:type="default" r:id="rId5"/>
      <w:footerReference w:type="first" r:id="rId6"/>
      <w:type w:val="nextPage"/>
      <w:pgSz w:w="12240" w:h="15840"/>
      <w:pgMar w:left="1440" w:right="1440" w:gutter="0" w:header="720" w:top="1440"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Tahoma">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/mnt/main-storage/datasets/enron-docs/doc/Cheyenne_Light_Power_Fuel__Power__Confirm_-f0ef482bdd380d0de8355c437e5d5cf4f2e0ea6604670f8901396033bea2d2ed.doc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Cheyenne Light, Power, Fuel &amp; Power Company</w:t>
    </w:r>
  </w:p>
  <w:p>
    <w:pPr>
      <w:pStyle w:val="Header"/>
      <w:rPr/>
    </w:pPr>
    <w:r>
      <w:rPr/>
      <w:t xml:space="preserve">July </w:t>
    </w:r>
    <w:r>
      <w:rPr>
        <w:u w:val="single"/>
      </w:rPr>
      <w:t xml:space="preserve">     </w:t>
    </w:r>
    <w:r>
      <w:rPr/>
      <w:t>, 2001</w:t>
    </w:r>
  </w:p>
  <w:p>
    <w:pPr>
      <w:pStyle w:val="Header"/>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2001-07-27T13:55:00Z</dcterms:created>
  <dc:creator>ECT</dc:creator>
  <dc:description/>
  <dc:language>en-CA</dc:language>
  <cp:lastModifiedBy>dperlin</cp:lastModifiedBy>
  <cp:lastPrinted>2001-08-01T10:43:00Z</cp:lastPrinted>
  <dcterms:modified xsi:type="dcterms:W3CDTF">2001-08-01T13:15:00Z</dcterms:modified>
  <cp:revision>6</cp:revision>
  <dc:subject>Municipal Gas Authority of Georgia</dc:subject>
  <dc:title>V66760.4</dc:title>
</cp:coreProperties>
</file>