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ab/>
        <w:tab/>
        <w:tab/>
        <w:t xml:space="preserve">       September   1,  2000</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Chevron Phillips Chemical Company, LP</w:t>
      </w:r>
    </w:p>
    <w:p>
      <w:pPr>
        <w:pStyle w:val="Normal"/>
        <w:jc w:val="both"/>
        <w:rPr>
          <w:rFonts w:ascii="Arial Narrow" w:hAnsi="Arial Narrow" w:cs="Arial Narrow"/>
        </w:rPr>
      </w:pPr>
      <w:r>
        <w:rPr>
          <w:rFonts w:cs="Arial Narrow" w:ascii="Arial Narrow" w:hAnsi="Arial Narrow"/>
        </w:rPr>
        <w:t>P. O. Box 2100</w:t>
      </w:r>
    </w:p>
    <w:p>
      <w:pPr>
        <w:pStyle w:val="Normal"/>
        <w:jc w:val="both"/>
        <w:rPr>
          <w:rFonts w:ascii="Arial Narrow" w:hAnsi="Arial Narrow" w:cs="Arial Narrow"/>
        </w:rPr>
      </w:pPr>
      <w:r>
        <w:rPr>
          <w:rFonts w:cs="Arial Narrow" w:ascii="Arial Narrow" w:hAnsi="Arial Narrow"/>
        </w:rPr>
        <w:t>Houston, Texas  77001-2100</w:t>
      </w:r>
    </w:p>
    <w:p>
      <w:pPr>
        <w:pStyle w:val="Normal"/>
        <w:jc w:val="both"/>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t>CONFIRMATION LETTER</w:t>
      </w:r>
    </w:p>
    <w:p>
      <w:pPr>
        <w:pStyle w:val="Normal"/>
        <w:jc w:val="center"/>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This Confirmation Letter (this “Letter”) shall confirm and effectuate the proposed agreement reached between Houston Pipe Line Company (“Seller”) and Chevron Chemical Company LLC (“Buyer”) regarding the sale by Seller and the purchase by Buyer of Gas under the following terms  and conditions:  Transaction # __________.</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b/>
        </w:rPr>
      </w:pPr>
      <w:r>
        <w:rPr>
          <w:rFonts w:cs="Arial Narrow" w:ascii="Arial Narrow" w:hAnsi="Arial Narrow"/>
          <w:b/>
        </w:rPr>
        <w:t>DAILY CONTRACT QUANTITY:</w:t>
      </w:r>
    </w:p>
    <w:p>
      <w:pPr>
        <w:pStyle w:val="Normal"/>
        <w:jc w:val="both"/>
        <w:rPr>
          <w:rFonts w:ascii="Arial Narrow" w:hAnsi="Arial Narrow" w:cs="Arial Narrow"/>
          <w:b/>
        </w:rPr>
      </w:pPr>
      <w:r>
        <w:rPr>
          <w:rFonts w:cs="Arial Narrow" w:ascii="Arial Narrow" w:hAnsi="Arial Narrow"/>
          <w:b/>
        </w:rPr>
      </w:r>
    </w:p>
    <w:p>
      <w:pPr>
        <w:pStyle w:val="Normal"/>
        <w:jc w:val="both"/>
        <w:rPr/>
      </w:pPr>
      <w:r>
        <w:rPr>
          <w:rFonts w:cs="Arial Narrow" w:ascii="Arial Narrow" w:hAnsi="Arial Narrow"/>
          <w:b/>
        </w:rPr>
        <w:t>“</w:t>
      </w:r>
      <w:r>
        <w:rPr>
          <w:rFonts w:cs="Arial Narrow" w:ascii="Arial Narrow" w:hAnsi="Arial Narrow"/>
          <w:b/>
          <w:u w:val="single"/>
        </w:rPr>
        <w:t>MinDQ</w:t>
      </w:r>
      <w:r>
        <w:rPr>
          <w:rFonts w:cs="Arial Narrow" w:ascii="Arial Narrow" w:hAnsi="Arial Narrow"/>
          <w:b/>
        </w:rPr>
        <w:t>”</w:t>
      </w:r>
      <w:r>
        <w:rPr>
          <w:rFonts w:cs="Arial Narrow" w:ascii="Arial Narrow" w:hAnsi="Arial Narrow"/>
        </w:rPr>
        <w:t xml:space="preserve">  means the minimum quantity of Gas that Buyer is required to Schedule per Gas Day pursuant to this Transaction.  The MinDQ so nominated by Buyer shall constitute the DCQ for the Month in question for purposes of Sections 6.6 and 6.7 of the Master Firm Sales Agreement.  For purposes of Sections 6.1, 6.2 and 6.3 of the Master Firm Sales Agreement, however, the DCQ shall be deemed to be equal to the sum of the MinDQ nominated by Buyer for the Month in question and 10,000 MMBtu per Day, and Buyer’s Requested Quantity shall be deemed to be equal to the MinDQ nominated by Buyer for the Month in question plus any additional gas required by Buyer up to 10,000 MMBtu per Day.</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b/>
        </w:rPr>
        <w:t>“</w:t>
      </w:r>
      <w:r>
        <w:rPr>
          <w:rFonts w:cs="Arial Narrow" w:ascii="Arial Narrow" w:hAnsi="Arial Narrow"/>
          <w:b/>
          <w:u w:val="single"/>
        </w:rPr>
        <w:t>MaxDQ</w:t>
      </w:r>
      <w:r>
        <w:rPr>
          <w:rFonts w:cs="Arial Narrow" w:ascii="Arial Narrow" w:hAnsi="Arial Narrow"/>
          <w:b/>
        </w:rPr>
        <w:t>”</w:t>
      </w:r>
      <w:r>
        <w:rPr>
          <w:rFonts w:cs="Arial Narrow" w:ascii="Arial Narrow" w:hAnsi="Arial Narrow"/>
        </w:rPr>
        <w:t xml:space="preserve">  means the maximum quantity of Gas that Seller is required to Schedule per Gas Day pursuant to this Transaction.  Buyer shall not be required to nominate Gas within the MaxDQ, but Seller shall have a firm obligation to supply Buyer’s gas requirements in excess of the MinDQ, up to the MaxDQ.</w:t>
      </w:r>
    </w:p>
    <w:p>
      <w:pPr>
        <w:pStyle w:val="Normal"/>
        <w:jc w:val="both"/>
        <w:rPr>
          <w:rFonts w:ascii="Arial Narrow" w:hAnsi="Arial Narrow" w:cs="Arial Narrow"/>
        </w:rPr>
      </w:pPr>
      <w:r>
        <w:rPr>
          <w:rFonts w:cs="Arial Narrow" w:ascii="Arial Narrow" w:hAnsi="Arial Narrow"/>
        </w:rPr>
      </w:r>
    </w:p>
    <w:p>
      <w:pPr>
        <w:pStyle w:val="Normal"/>
        <w:ind w:hanging="3600" w:start="3600" w:end="0"/>
        <w:jc w:val="both"/>
        <w:rPr/>
      </w:pPr>
      <w:r>
        <w:rPr>
          <w:rFonts w:cs="Arial Narrow" w:ascii="Arial Narrow" w:hAnsi="Arial Narrow"/>
          <w:b/>
        </w:rPr>
        <w:t>MinDQ:</w:t>
        <w:tab/>
      </w:r>
      <w:r>
        <w:rPr>
          <w:rFonts w:cs="Arial Narrow" w:ascii="Arial Narrow" w:hAnsi="Arial Narrow"/>
        </w:rPr>
        <w:t>For each Month during the Period of Deliver, Buyer shall nominate in writing a minimum quantity of Gas between 6,000 MMBtu per Day and 12,000 MMBtu per Day, such nomination by Buyer to be delivered to Seller at least 5 Working Days prior to the start of the Month.</w:t>
      </w:r>
    </w:p>
    <w:p>
      <w:pPr>
        <w:pStyle w:val="Normal"/>
        <w:ind w:hanging="3600" w:start="3600" w:end="0"/>
        <w:jc w:val="both"/>
        <w:rPr>
          <w:rFonts w:ascii="Arial Narrow" w:hAnsi="Arial Narrow" w:cs="Arial Narrow"/>
        </w:rPr>
      </w:pPr>
      <w:r>
        <w:rPr>
          <w:rFonts w:cs="Arial Narrow" w:ascii="Arial Narrow" w:hAnsi="Arial Narrow"/>
        </w:rPr>
      </w:r>
    </w:p>
    <w:p>
      <w:pPr>
        <w:pStyle w:val="Normal"/>
        <w:ind w:hanging="3600" w:start="3600" w:end="0"/>
        <w:jc w:val="both"/>
        <w:rPr/>
      </w:pPr>
      <w:r>
        <w:rPr>
          <w:rFonts w:cs="Arial Narrow" w:ascii="Arial Narrow" w:hAnsi="Arial Narrow"/>
          <w:b/>
        </w:rPr>
        <w:t>MaxDQ:</w:t>
        <w:tab/>
      </w:r>
      <w:r>
        <w:rPr>
          <w:rFonts w:cs="Arial Narrow" w:ascii="Arial Narrow" w:hAnsi="Arial Narrow"/>
        </w:rPr>
        <w:t>Up to 10,000 MMBtu per Day in excess of the MinDQ.  Seller shall have the option of Scheduling Gas properly nominated by Buyer in excess of the MaxDQ (“Excess Gas”).</w:t>
      </w:r>
    </w:p>
    <w:p>
      <w:pPr>
        <w:pStyle w:val="Normal"/>
        <w:ind w:hanging="3600" w:start="3600" w:end="0"/>
        <w:jc w:val="both"/>
        <w:rPr>
          <w:rFonts w:ascii="Arial Narrow" w:hAnsi="Arial Narrow" w:cs="Arial Narrow"/>
        </w:rPr>
      </w:pPr>
      <w:r>
        <w:rPr>
          <w:rFonts w:cs="Arial Narrow" w:ascii="Arial Narrow" w:hAnsi="Arial Narrow"/>
        </w:rPr>
      </w:r>
    </w:p>
    <w:p>
      <w:pPr>
        <w:pStyle w:val="Normal"/>
        <w:ind w:hanging="3600" w:start="3600" w:end="0"/>
        <w:jc w:val="both"/>
        <w:rPr/>
      </w:pPr>
      <w:r>
        <w:rPr>
          <w:rFonts w:cs="Arial Narrow" w:ascii="Arial Narrow" w:hAnsi="Arial Narrow"/>
          <w:b/>
        </w:rPr>
        <w:t>DELIVERY POINT(S):</w:t>
        <w:tab/>
      </w:r>
      <w:r>
        <w:rPr>
          <w:rFonts w:cs="Arial Narrow" w:ascii="Arial Narrow" w:hAnsi="Arial Narrow"/>
        </w:rPr>
        <w:t>Seller’s Meter No. 1024 located at Cedar Bayou in Chamber County, Texas; with Seller providing pressure control services.</w:t>
      </w:r>
    </w:p>
    <w:p>
      <w:pPr>
        <w:pStyle w:val="Normal"/>
        <w:ind w:hanging="3600" w:start="3600" w:end="0"/>
        <w:jc w:val="both"/>
        <w:rPr>
          <w:rFonts w:ascii="Arial Narrow" w:hAnsi="Arial Narrow" w:cs="Arial Narrow"/>
        </w:rPr>
      </w:pPr>
      <w:r>
        <w:rPr>
          <w:rFonts w:cs="Arial Narrow" w:ascii="Arial Narrow" w:hAnsi="Arial Narrow"/>
        </w:rPr>
      </w:r>
    </w:p>
    <w:p>
      <w:pPr>
        <w:pStyle w:val="Normal"/>
        <w:ind w:hanging="3600" w:start="3600" w:end="0"/>
        <w:jc w:val="both"/>
        <w:rPr/>
      </w:pPr>
      <w:r>
        <w:rPr>
          <w:rFonts w:cs="Arial Narrow" w:ascii="Arial Narrow" w:hAnsi="Arial Narrow"/>
          <w:b/>
        </w:rPr>
        <w:t>CONTRACT PRICE (per MMBtu):</w:t>
        <w:tab/>
        <w:t xml:space="preserve">MinDQ:  </w:t>
      </w:r>
      <w:r>
        <w:rPr>
          <w:rFonts w:cs="Arial Narrow" w:ascii="Arial Narrow" w:hAnsi="Arial Narrow"/>
        </w:rPr>
        <w:t>$0.0025 + the Reference Price.</w:t>
      </w:r>
    </w:p>
    <w:p>
      <w:pPr>
        <w:pStyle w:val="Normal"/>
        <w:ind w:hanging="3600" w:start="3600" w:end="0"/>
        <w:jc w:val="both"/>
        <w:rPr/>
      </w:pPr>
      <w:r>
        <w:rPr>
          <w:rFonts w:cs="Arial Narrow" w:ascii="Arial Narrow" w:hAnsi="Arial Narrow"/>
        </w:rPr>
        <w:tab/>
      </w:r>
      <w:r>
        <w:rPr>
          <w:rFonts w:cs="Arial Narrow" w:ascii="Arial Narrow" w:hAnsi="Arial Narrow"/>
          <w:b/>
        </w:rPr>
        <w:t xml:space="preserve">MaxDQ:  </w:t>
      </w:r>
      <w:r>
        <w:rPr>
          <w:rFonts w:cs="Arial Narrow" w:ascii="Arial Narrow" w:hAnsi="Arial Narrow"/>
        </w:rPr>
        <w:t>Higher of Gas Party HSC Midpoint for day of flow and next day.</w:t>
      </w:r>
    </w:p>
    <w:p>
      <w:pPr>
        <w:pStyle w:val="Normal"/>
        <w:ind w:hanging="3600" w:start="3600" w:end="0"/>
        <w:jc w:val="both"/>
        <w:rPr/>
      </w:pPr>
      <w:r>
        <w:rPr>
          <w:rFonts w:cs="Arial Narrow" w:ascii="Arial Narrow" w:hAnsi="Arial Narrow"/>
        </w:rPr>
        <w:tab/>
      </w:r>
      <w:r>
        <w:rPr>
          <w:rFonts w:cs="Arial Narrow" w:ascii="Arial Narrow" w:hAnsi="Arial Narrow"/>
          <w:b/>
        </w:rPr>
        <w:t xml:space="preserve">Excess Gas:  </w:t>
      </w:r>
      <w:r>
        <w:rPr>
          <w:rFonts w:cs="Arial Narrow" w:ascii="Arial Narrow" w:hAnsi="Arial Narrow"/>
        </w:rPr>
        <w:t>The highest of GD-HSC Midpoint for day of flow and next two days</w:t>
      </w:r>
      <w:r>
        <w:rPr/>
        <w:t>.</w:t>
      </w:r>
    </w:p>
    <w:p>
      <w:pPr>
        <w:pStyle w:val="Normal"/>
        <w:ind w:hanging="3600" w:start="3600" w:end="0"/>
        <w:jc w:val="both"/>
        <w:rPr/>
      </w:pPr>
      <w:r>
        <w:rPr/>
      </w:r>
    </w:p>
    <w:p>
      <w:pPr>
        <w:pStyle w:val="Normal"/>
        <w:ind w:hanging="3600" w:start="3600" w:end="0"/>
        <w:jc w:val="both"/>
        <w:rPr/>
      </w:pPr>
      <w:r>
        <w:rPr>
          <w:rFonts w:cs="Arial Narrow" w:ascii="Arial Narrow" w:hAnsi="Arial Narrow"/>
          <w:b/>
        </w:rPr>
        <w:t>PERIOD OF DELIVERY:</w:t>
        <w:tab/>
      </w:r>
      <w:r>
        <w:rPr>
          <w:rFonts w:cs="Arial Narrow" w:ascii="Arial Narrow" w:hAnsi="Arial Narrow"/>
        </w:rPr>
        <w:t>October 1, 2000 through September 30, 2001.</w:t>
      </w:r>
    </w:p>
    <w:p>
      <w:pPr>
        <w:pStyle w:val="Normal"/>
        <w:ind w:hanging="3600" w:start="3600" w:end="0"/>
        <w:jc w:val="both"/>
        <w:rPr>
          <w:rFonts w:ascii="Arial Narrow" w:hAnsi="Arial Narrow" w:cs="Arial Narrow"/>
        </w:rPr>
      </w:pPr>
      <w:r>
        <w:rPr>
          <w:rFonts w:cs="Arial Narrow" w:ascii="Arial Narrow" w:hAnsi="Arial Narrow"/>
        </w:rPr>
      </w:r>
    </w:p>
    <w:p>
      <w:pPr>
        <w:pStyle w:val="Normal"/>
        <w:ind w:hanging="3600" w:start="3600" w:end="0"/>
        <w:jc w:val="both"/>
        <w:rPr/>
      </w:pPr>
      <w:r>
        <w:rPr>
          <w:rFonts w:cs="Arial Narrow" w:ascii="Arial Narrow" w:hAnsi="Arial Narrow"/>
          <w:b/>
        </w:rPr>
        <w:t>SPOT PRICE (LOCATION):</w:t>
        <w:tab/>
      </w:r>
      <w:r>
        <w:rPr>
          <w:rFonts w:cs="Arial Narrow" w:ascii="Arial Narrow" w:hAnsi="Arial Narrow"/>
        </w:rPr>
        <w:t>East-Houston-Katy - Katy Hub Tailgate</w:t>
      </w:r>
    </w:p>
    <w:p>
      <w:pPr>
        <w:pStyle w:val="Normal"/>
        <w:ind w:hanging="3600" w:start="3600" w:end="0"/>
        <w:jc w:val="both"/>
        <w:rPr>
          <w:rFonts w:ascii="Arial Narrow" w:hAnsi="Arial Narrow" w:cs="Arial Narrow"/>
        </w:rPr>
      </w:pPr>
      <w:r>
        <w:rPr>
          <w:rFonts w:cs="Arial Narrow" w:ascii="Arial Narrow" w:hAnsi="Arial Narrow"/>
        </w:rPr>
      </w:r>
    </w:p>
    <w:p>
      <w:pPr>
        <w:pStyle w:val="Normal"/>
        <w:ind w:hanging="3600" w:start="3600" w:end="0"/>
        <w:jc w:val="both"/>
        <w:rPr/>
      </w:pPr>
      <w:r>
        <w:rPr>
          <w:rFonts w:cs="Arial Narrow" w:ascii="Arial Narrow" w:hAnsi="Arial Narrow"/>
          <w:b/>
        </w:rPr>
        <w:t>OTHER:</w:t>
      </w:r>
      <w:r>
        <w:rPr>
          <w:rFonts w:cs="Arial Narrow" w:ascii="Arial Narrow" w:hAnsi="Arial Narrow"/>
        </w:rPr>
        <w:tab/>
      </w:r>
      <w:r>
        <w:rPr>
          <w:rFonts w:cs="Arial Narrow" w:ascii="Arial Narrow" w:hAnsi="Arial Narrow"/>
          <w:u w:val="single"/>
        </w:rPr>
        <w:t>Cover Remedies</w:t>
      </w:r>
      <w:r>
        <w:rPr>
          <w:rFonts w:cs="Arial Narrow" w:ascii="Arial Narrow" w:hAnsi="Arial Narrow"/>
        </w:rPr>
        <w:t xml:space="preserve">.  In the event of a Buyer’s Deficiency Default as defined in Section 6.7, the Parties agree the “Replacement Price Differential” shall mean the difference, if any, obtained by subtracting the Spot Price from the Contract Price for the Day in which Buyer’s Deficiency Default occurred.   For purposes of Section 6.7 only, the Parties agree the Spot Price shall be the lower of Midpoint for day of flow and next day for East-Houston-Katy - Katy Hub Tailgate as reported for the relevant Day by </w:t>
      </w:r>
      <w:r>
        <w:rPr>
          <w:rFonts w:cs="Arial Narrow" w:ascii="Arial Narrow" w:hAnsi="Arial Narrow"/>
          <w:u w:val="single"/>
        </w:rPr>
        <w:t>Gas Daily</w:t>
      </w:r>
      <w:r>
        <w:rPr>
          <w:rFonts w:cs="Arial Narrow" w:ascii="Arial Narrow" w:hAnsi="Arial Narrow"/>
        </w:rPr>
        <w:t>.  Additionally, the Parties agree that the $0.15 liquidated damages fee contained in Sections 6.3 and 6.7shall not apply for purposes of this Transaction only.</w:t>
      </w:r>
    </w:p>
    <w:p>
      <w:pPr>
        <w:pStyle w:val="Normal"/>
        <w:ind w:hanging="3600" w:start="3600" w:end="0"/>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This Letter is being provided pursuant to and in accordance with Master Firm Sales Agreement dated January 1, 1993 between Seller (assignee of HPL Resources Company formerly Natural Gas Marketing &amp; Storage Company) and Buyer (formerly Chevron Chemical Company)  and constitutes part of and is subject to all of the terms and provisions of such Agreement.  Please confirm that the terms stated herein accurately reflect the proposed agreement reached between the Parties by returning an executed copy of this Letter.  Your response should reflect the appropriate Party in your organization who has the authority to enter into this Transaction and should be received by Seller no later than the end of the first Business Day following the date this Letter was sent to Buyer.  Upon timely receipt by Seller of your confirmation, this Letter shall constitute a Transaction under the Agreement.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CHEVRON PHILLIPS CHEMICAL COMPANY LP</w:t>
        <w:tab/>
        <w:tab/>
        <w:t>HOUSTON PIPE LINE COMPANY</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w:t>
        <w:tab/>
        <w:tab/>
        <w:tab/>
        <w:t>By: _________________________________</w:t>
      </w:r>
    </w:p>
    <w:p>
      <w:pPr>
        <w:pStyle w:val="Normal"/>
        <w:jc w:val="both"/>
        <w:rPr>
          <w:rFonts w:ascii="Arial Narrow" w:hAnsi="Arial Narrow" w:cs="Arial Narrow"/>
        </w:rPr>
      </w:pPr>
      <w:r>
        <w:rPr>
          <w:rFonts w:cs="Arial Narrow" w:ascii="Arial Narrow" w:hAnsi="Arial Narrow"/>
        </w:rPr>
        <w:t>(Title) _____________________________</w:t>
        <w:tab/>
        <w:tab/>
        <w:tab/>
        <w:t>(Title) _______________________________</w:t>
      </w:r>
    </w:p>
    <w:p>
      <w:pPr>
        <w:pStyle w:val="Normal"/>
        <w:jc w:val="both"/>
        <w:rPr>
          <w:rFonts w:ascii="Arial Narrow" w:hAnsi="Arial Narrow" w:cs="Arial Narrow"/>
        </w:rPr>
      </w:pPr>
      <w:r>
        <w:rPr>
          <w:rFonts w:cs="Arial Narrow" w:ascii="Arial Narrow" w:hAnsi="Arial Narrow"/>
        </w:rPr>
        <w:t>(Date) _____________________________</w:t>
        <w:tab/>
        <w:tab/>
        <w:tab/>
        <w:t>(Date) _______________________________</w:t>
      </w:r>
    </w:p>
    <w:p>
      <w:pPr>
        <w:pStyle w:val="Normal"/>
        <w:ind w:hanging="3600" w:start="3600" w:end="0"/>
        <w:jc w:val="both"/>
        <w:rPr>
          <w:rFonts w:ascii="Arial Narrow" w:hAnsi="Arial Narrow" w:cs="Arial Narrow"/>
        </w:rPr>
      </w:pPr>
      <w:r>
        <w:rPr>
          <w:rFonts w:cs="Arial Narrow" w:ascii="Arial Narrow" w:hAnsi="Arial Narrow"/>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1008" w:top="1440" w:footer="1008"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/mnt/main-storage/datasets/enron-docs/doc/Chevron_Phillips_Confirm.doc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/mnt/main-storage/datasets/enron-docs/doc/Chevron_Phillips_Confirm.doc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0"/>
      </w:rPr>
    </w:pPr>
    <w:r>
      <w:rPr>
        <w:rFonts w:cs="Arial Narrow" w:ascii="Arial Narrow" w:hAnsi="Arial Narrow"/>
        <w:sz w:val="20"/>
      </w:rPr>
      <w:t>Chevron Chemical Company LLC</w:t>
    </w:r>
  </w:p>
  <w:p>
    <w:pPr>
      <w:pStyle w:val="Header"/>
      <w:rPr>
        <w:rFonts w:ascii="Arial Narrow" w:hAnsi="Arial Narrow" w:cs="Arial Narrow"/>
        <w:sz w:val="20"/>
      </w:rPr>
    </w:pPr>
    <w:r>
      <w:rPr>
        <w:rFonts w:cs="Arial Narrow" w:ascii="Arial Narrow" w:hAnsi="Arial Narrow"/>
        <w:sz w:val="20"/>
      </w:rPr>
      <w:t>September  1, 2000</w:t>
    </w:r>
  </w:p>
  <w:p>
    <w:pPr>
      <w:pStyle w:val="Header"/>
      <w:rPr>
        <w:rStyle w:val="PageNumber"/>
        <w:rFonts w:ascii="Arial Narrow" w:hAnsi="Arial Narrow" w:cs="Arial Narrow"/>
        <w:sz w:val="20"/>
      </w:rPr>
    </w:pPr>
    <w:r>
      <w:rPr>
        <w:rFonts w:cs="Arial Narrow" w:ascii="Arial Narrow" w:hAnsi="Arial Narrow"/>
        <w:sz w:val="20"/>
      </w:rPr>
      <w:t xml:space="preserve">Page </w:t>
    </w: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p>
    <w:pPr>
      <w:pStyle w:val="Header"/>
      <w:rPr>
        <w:rStyle w:val="PageNumber"/>
        <w:rFonts w:ascii="Arial Narrow" w:hAnsi="Arial Narrow" w:cs="Arial Narrow"/>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2000-09-18T19:53:00Z</dcterms:created>
  <dc:creator>Daniel J. Hyvl</dc:creator>
  <dc:description/>
  <dc:language>en-CA</dc:language>
  <cp:lastModifiedBy>dperlin</cp:lastModifiedBy>
  <cp:lastPrinted>2000-09-18T17:40:00Z</cp:lastPrinted>
  <dcterms:modified xsi:type="dcterms:W3CDTF">2000-09-18T20:11:00Z</dcterms:modified>
  <cp:revision>3</cp:revision>
  <dc:subject/>
  <dc:title/>
</cp:coreProperties>
</file>