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CONSOLIDATED EDISON COMPANY OF NEW YORK, INC.</w:t>
      </w:r>
    </w:p>
    <w:p>
      <w:pPr>
        <w:pStyle w:val="Heading"/>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Demand Response Program</w:t>
      </w:r>
    </w:p>
    <w:p>
      <w:pPr>
        <w:pStyle w:val="Heading1"/>
        <w:ind w:hanging="0" w:start="0"/>
        <w:rPr>
          <w:rFonts w:ascii="Times New Roman" w:hAnsi="Times New Roman" w:cs="Times New Roman"/>
        </w:rPr>
      </w:pPr>
      <w:r>
        <w:rPr>
          <w:rFonts w:cs="Times New Roman" w:ascii="Times New Roman" w:hAnsi="Times New Roman"/>
        </w:rPr>
        <w:t>Request for Bids</w:t>
      </w:r>
    </w:p>
    <w:p>
      <w:pPr>
        <w:pStyle w:val="Normal"/>
        <w:rPr>
          <w:rFonts w:ascii="Times New Roman" w:hAnsi="Times New Roman" w:cs="Times New Roman"/>
          <w:b/>
          <w:bCs/>
        </w:rPr>
      </w:pPr>
      <w:r>
        <w:rPr>
          <w:rFonts w:cs="Times New Roman"/>
          <w:b/>
          <w:bCs/>
        </w:rPr>
      </w:r>
    </w:p>
    <w:p>
      <w:pPr>
        <w:pStyle w:val="Normal"/>
        <w:rPr>
          <w:b/>
          <w:bCs/>
        </w:rPr>
      </w:pPr>
      <w:r>
        <w:rPr>
          <w:b/>
          <w:bCs/>
        </w:rPr>
      </w:r>
    </w:p>
    <w:p>
      <w:pPr>
        <w:pStyle w:val="Normal"/>
        <w:rPr>
          <w:b/>
          <w:bCs/>
        </w:rPr>
      </w:pPr>
      <w:r>
        <w:rPr>
          <w:b/>
          <w:bCs/>
        </w:rPr>
        <w:t xml:space="preserve">Introduction: </w:t>
      </w:r>
    </w:p>
    <w:p>
      <w:pPr>
        <w:pStyle w:val="Normal"/>
        <w:rPr/>
      </w:pPr>
      <w:r>
        <w:rPr/>
        <w:t xml:space="preserve">Consolidated Edison Inc. (“Con Edison” or the “Company”) is one of the nation’s largest investor-owned energy companies, with more than $9 billion in annual revenues and approximately $16 billion in assets. The company provides a wide rage of energy-related products and services to its customers through its two regulated subsidiaries: Consolidated Edison Company of New York, Inc. (“CECONY”), a regulated utility providing electric, gas and steam service to New York City and Westchester County, New York; and Orange and Rockland Utilities, Inc., a regulated utility serving customers in a 1,350 square mile area in southeastern New York State, as well as adjacent sections of northern New Jersey and northeastern Pennsylvania. </w:t>
      </w:r>
      <w:r>
        <w:rPr>
          <w:b/>
          <w:bCs/>
        </w:rPr>
        <w:t xml:space="preserve"> </w:t>
      </w:r>
      <w:r>
        <w:rPr/>
        <w:t xml:space="preserve">The Company also has four unregulated businesses: Con Edison Solutions, a retail services company, Con Edison Energy, a wholesale services company, Con Edison Development, a generation assets company and Con Edison Communications, a telecommunications infrastructure company. </w:t>
      </w:r>
    </w:p>
    <w:p>
      <w:pPr>
        <w:pStyle w:val="Normal"/>
        <w:rPr/>
      </w:pPr>
      <w:r>
        <w:rPr/>
      </w:r>
    </w:p>
    <w:p>
      <w:pPr>
        <w:pStyle w:val="Normal"/>
        <w:rPr>
          <w:b/>
          <w:bCs/>
        </w:rPr>
      </w:pPr>
      <w:r>
        <w:rPr>
          <w:b/>
          <w:bCs/>
        </w:rPr>
        <w:t>Background:</w:t>
      </w:r>
    </w:p>
    <w:p>
      <w:pPr>
        <w:pStyle w:val="Normal"/>
        <w:rPr>
          <w:szCs w:val="22"/>
        </w:rPr>
      </w:pPr>
      <w:r>
        <w:rPr>
          <w:szCs w:val="22"/>
        </w:rPr>
        <w:t>In order to increase the level of operational flexibility and improve system reliability under severe or stress conditions over the summer period, CECONY is seeking the participation of Energy Service Companies deemed eligible by the State of New York Department of Public Service (“eligible ESCOs”), and commercial customers within a defined geographic area in a new “Demand Response Program”.  The Demand Response Program will promote new energy management opportunities and may increase local competition in energy services and expand retail choice in commodity supply.  By this RFB for participation in this program, eligible ESCOs and customers located in what is known as the Chelsea Network (See Eligibility Below) are being asked to bid a minimal level of capacity that they would remove from the grid at certain times during a two year period (June through August – See Capacity Availability Below) beginning in year 2002 and the compensation they want to receive both for standing ready and for reducing load when requested.  Customers may offer separate capacity and compensation proposals for calendars years 2002 and 2003 or one proposal that encompasses both years.</w:t>
      </w:r>
    </w:p>
    <w:p>
      <w:pPr>
        <w:pStyle w:val="Normal"/>
        <w:rPr>
          <w:szCs w:val="22"/>
        </w:rPr>
      </w:pPr>
      <w:r>
        <w:rPr>
          <w:szCs w:val="22"/>
        </w:rPr>
      </w:r>
    </w:p>
    <w:p>
      <w:pPr>
        <w:pStyle w:val="Normal"/>
        <w:rPr/>
      </w:pPr>
      <w:r>
        <w:rPr>
          <w:szCs w:val="22"/>
        </w:rPr>
        <w:t>Customers and/or ESCOs awarded contracts under the Demand Response Program will be obligated to reduce consumption and/or shift load to onsite generation and thereby reduce energy delivery service from the CECONY distribution system.   CECONY will accept bids for up to 1</w:t>
      </w:r>
      <w:r>
        <w:rPr/>
        <w:t xml:space="preserve">4 megawatts of capacity coincident with the peak demand within the Chelsea network in 2002 and up to 24 megawatts in 2003.  Among the criteria for the Company’s awarding of contracts is a demonstration of the bidder’s </w:t>
      </w:r>
      <w:r>
        <w:rPr>
          <w:szCs w:val="22"/>
        </w:rPr>
        <w:t xml:space="preserve">ability to comply with calls for reduction to the level of contracted capacity for 2002, 2003 or both years.  </w:t>
      </w:r>
    </w:p>
    <w:p>
      <w:pPr>
        <w:pStyle w:val="Normal"/>
        <w:rPr>
          <w:szCs w:val="22"/>
        </w:rPr>
      </w:pPr>
      <w:r>
        <w:rPr>
          <w:szCs w:val="22"/>
        </w:rPr>
      </w:r>
    </w:p>
    <w:p>
      <w:pPr>
        <w:pStyle w:val="Normal"/>
        <w:rPr>
          <w:vanish/>
        </w:rPr>
      </w:pPr>
      <w:r>
        <w:rPr>
          <w:vanish/>
        </w:rPr>
        <w:t xml:space="preserve"> </w:t>
      </w:r>
    </w:p>
    <w:p>
      <w:pPr>
        <w:pStyle w:val="Normal"/>
        <w:rPr>
          <w:vanish/>
        </w:rPr>
      </w:pPr>
      <w:r>
        <w:rPr>
          <w:vanish/>
        </w:rPr>
      </w:r>
    </w:p>
    <w:p>
      <w:pPr>
        <w:pStyle w:val="Normal"/>
        <w:rPr/>
      </w:pPr>
      <w:r>
        <w:rPr>
          <w:b/>
          <w:bCs/>
        </w:rPr>
        <w:t>Eligibility</w:t>
      </w:r>
      <w:r>
        <w:rPr/>
        <w:t>:</w:t>
      </w:r>
    </w:p>
    <w:p>
      <w:pPr>
        <w:pStyle w:val="Heading3"/>
        <w:ind w:hanging="0" w:start="0"/>
        <w:rPr/>
      </w:pPr>
      <w:r>
        <w:rPr/>
        <w:t>Customers</w:t>
      </w:r>
    </w:p>
    <w:p>
      <w:pPr>
        <w:pStyle w:val="Normal"/>
        <w:rPr/>
      </w:pPr>
      <w:r>
        <w:rPr/>
        <w:t>Entities eligible to be customers under the Demand Response Program are all commercial end-users (including multi-tenanted residential buildings) located in the borough of Manhattan in the area bounded by 14</w:t>
      </w:r>
      <w:r>
        <w:rPr>
          <w:vertAlign w:val="superscript"/>
        </w:rPr>
        <w:t>th</w:t>
      </w:r>
      <w:r>
        <w:rPr/>
        <w:t xml:space="preserve"> Street and 31</w:t>
      </w:r>
      <w:r>
        <w:rPr>
          <w:vertAlign w:val="superscript"/>
        </w:rPr>
        <w:t>st</w:t>
      </w:r>
      <w:r>
        <w:rPr/>
        <w:t xml:space="preserve"> Street and 5</w:t>
      </w:r>
      <w:r>
        <w:rPr>
          <w:vertAlign w:val="superscript"/>
        </w:rPr>
        <w:t>th</w:t>
      </w:r>
      <w:r>
        <w:rPr/>
        <w:t xml:space="preserve"> Avenue and the Hudson River (“Bounded Area”).  See the attached map of the Bounded Area (also known as the Chelsea Network).  Customers must bid to offer a minimum of 1 megawatt of capacity.  Customers may be bundled sales or retail access delivery service customers of CECONY or customers of the New York Power Authority.  </w:t>
      </w:r>
    </w:p>
    <w:p>
      <w:pPr>
        <w:pStyle w:val="Normal"/>
        <w:rPr/>
      </w:pPr>
      <w:r>
        <w:rPr/>
        <w:t> </w:t>
      </w:r>
    </w:p>
    <w:p>
      <w:pPr>
        <w:pStyle w:val="Normal"/>
        <w:rPr/>
      </w:pPr>
      <w:r>
        <w:rPr/>
        <w:t xml:space="preserve">To achieve the 1-megawatt threshold, a customer may aggregate the capacity of more than one “behind the fence” generator and/or load reductions for its capacity bid; however, the minimum “net generation” and/or “net load reduction” must be 100 kilowatts for any single premise and account.  </w:t>
      </w:r>
    </w:p>
    <w:p>
      <w:pPr>
        <w:pStyle w:val="Normal"/>
        <w:rPr/>
      </w:pPr>
      <w:r>
        <w:rPr/>
        <w:t> </w:t>
      </w:r>
    </w:p>
    <w:p>
      <w:pPr>
        <w:pStyle w:val="Heading3"/>
        <w:ind w:hanging="0" w:start="0"/>
        <w:rPr/>
      </w:pPr>
      <w:r>
        <w:rPr/>
        <w:t>ESCOs</w:t>
      </w:r>
    </w:p>
    <w:p>
      <w:pPr>
        <w:pStyle w:val="Normal"/>
        <w:rPr/>
      </w:pPr>
      <w:r>
        <w:rPr/>
        <w:t>ESCOs as of January 1, 2002, that meet the eligibility requirements of the New York State Public Service Commission (”PSC”) and are actively marketing energy/services in CECONY’s service territory may bid into the Demand Response Program.  ESCOs offering bids must supply not less than 1 megawatt of capacity derived from customer sites or loads within the Bounded Area.  ESCOs may reach the1 megawatt target by aggregating different customer sites or loads.  However, as noted above, the minimum capacity threshold per account per location is 100 kilowatts.</w:t>
      </w:r>
    </w:p>
    <w:p>
      <w:pPr>
        <w:pStyle w:val="Normal"/>
        <w:rPr/>
      </w:pPr>
      <w:r>
        <w:rPr/>
        <w:t> </w:t>
      </w:r>
    </w:p>
    <w:p>
      <w:pPr>
        <w:pStyle w:val="Normal"/>
        <w:rPr>
          <w:b/>
          <w:bCs/>
        </w:rPr>
      </w:pPr>
      <w:r>
        <w:rPr>
          <w:b/>
          <w:bCs/>
        </w:rPr>
        <w:t>Capacity Availability:</w:t>
      </w:r>
    </w:p>
    <w:p>
      <w:pPr>
        <w:pStyle w:val="Normal"/>
        <w:rPr/>
      </w:pPr>
      <w:r>
        <w:rPr/>
        <w:t xml:space="preserve">The offered capacity must be available to CECONY for up to 90 hours per year during the weekday hours of 10:00 A.M. EST and 6:00 P.M EST. (“Peak Hours”), June 1 through August 31 (“Peak Periods”) of calendar years 2002 and 2003.  Bidders are invited to offer capacity for each calendar year separately or for both calendar years together. CECONY calls for the contracted capacity will be for a minimum period of 4 hours and a maximum period of 8 hours.  </w:t>
      </w:r>
    </w:p>
    <w:p>
      <w:pPr>
        <w:pStyle w:val="Normal"/>
        <w:rPr>
          <w:b/>
          <w:bCs/>
        </w:rPr>
      </w:pPr>
      <w:r>
        <w:rPr>
          <w:b/>
          <w:bCs/>
        </w:rPr>
        <w:t> </w:t>
      </w:r>
    </w:p>
    <w:p>
      <w:pPr>
        <w:pStyle w:val="Normal"/>
        <w:rPr>
          <w:b/>
          <w:bCs/>
        </w:rPr>
      </w:pPr>
      <w:r>
        <w:rPr>
          <w:b/>
          <w:bCs/>
        </w:rPr>
        <w:t>Compensation:</w:t>
      </w:r>
    </w:p>
    <w:p>
      <w:pPr>
        <w:pStyle w:val="Normal"/>
        <w:rPr/>
      </w:pPr>
      <w:r>
        <w:rPr/>
        <w:t>Bidders must provide capacity bids in dollars per kilowatt for the three-month period in question (June, July, August) and by year (2002, 2003 or both years).  Bidders must also set forth the amount of capacity for the three-month period and by year.  Bidders awarded contracts will be paid three separate and equal installments per contract year: one-third by June 7, one-third by August 7, and the remaining third by September 7. </w:t>
      </w:r>
      <w:r>
        <w:br w:type="page"/>
      </w:r>
    </w:p>
    <w:p>
      <w:pPr>
        <w:pStyle w:val="Normal"/>
        <w:rPr>
          <w:b/>
          <w:bCs/>
        </w:rPr>
      </w:pPr>
      <w:r>
        <w:rPr>
          <w:b/>
          <w:bCs/>
        </w:rPr>
        <w:t>Selection Process:</w:t>
      </w:r>
    </w:p>
    <w:p>
      <w:pPr>
        <w:pStyle w:val="Header"/>
        <w:tabs>
          <w:tab w:val="left" w:pos="2880" w:leader="none"/>
          <w:tab w:val="center" w:pos="4320" w:leader="none"/>
          <w:tab w:val="right" w:pos="8640" w:leader="none"/>
        </w:tabs>
        <w:rPr/>
      </w:pPr>
      <w:r>
        <w:rPr/>
        <w:t>CECONY will consider a number of elements in reviewing/evaluating customer and ESCO bids, including:</w:t>
      </w:r>
    </w:p>
    <w:p>
      <w:pPr>
        <w:pStyle w:val="Header"/>
        <w:tabs>
          <w:tab w:val="left" w:pos="2880" w:leader="none"/>
          <w:tab w:val="center" w:pos="4320" w:leader="none"/>
          <w:tab w:val="right" w:pos="8640" w:leader="none"/>
        </w:tabs>
        <w:rPr/>
      </w:pPr>
      <w:r>
        <w:rPr/>
        <w:t> </w:t>
      </w:r>
    </w:p>
    <w:p>
      <w:pPr>
        <w:pStyle w:val="Header"/>
        <w:numPr>
          <w:ilvl w:val="0"/>
          <w:numId w:val="3"/>
        </w:numPr>
        <w:rPr>
          <w:b/>
          <w:bCs/>
        </w:rPr>
      </w:pPr>
      <w:r>
        <w:rPr/>
        <w:t>The respondents qualifications, experience and background,</w:t>
      </w:r>
    </w:p>
    <w:p>
      <w:pPr>
        <w:pStyle w:val="Header"/>
        <w:numPr>
          <w:ilvl w:val="0"/>
          <w:numId w:val="3"/>
        </w:numPr>
        <w:rPr/>
      </w:pPr>
      <w:r>
        <w:rPr/>
        <w:t>The ability to deliver the capacity bid under the Program,</w:t>
      </w:r>
    </w:p>
    <w:p>
      <w:pPr>
        <w:pStyle w:val="Header"/>
        <w:numPr>
          <w:ilvl w:val="0"/>
          <w:numId w:val="3"/>
        </w:numPr>
        <w:rPr/>
      </w:pPr>
      <w:r>
        <w:rPr/>
        <w:t>The price and amount of the capacity bid,</w:t>
      </w:r>
    </w:p>
    <w:p>
      <w:pPr>
        <w:pStyle w:val="Header"/>
        <w:numPr>
          <w:ilvl w:val="0"/>
          <w:numId w:val="3"/>
        </w:numPr>
        <w:rPr/>
      </w:pPr>
      <w:r>
        <w:rPr/>
        <w:t>The level of aggregation required to meet the 1 megawatt threshold,</w:t>
      </w:r>
    </w:p>
    <w:p>
      <w:pPr>
        <w:pStyle w:val="Header"/>
        <w:numPr>
          <w:ilvl w:val="0"/>
          <w:numId w:val="3"/>
        </w:numPr>
        <w:rPr/>
      </w:pPr>
      <w:r>
        <w:rPr/>
        <w:t>Gaining a mix of ESCO and customer capacity offers,</w:t>
      </w:r>
    </w:p>
    <w:p>
      <w:pPr>
        <w:pStyle w:val="Header"/>
        <w:numPr>
          <w:ilvl w:val="0"/>
          <w:numId w:val="3"/>
        </w:numPr>
        <w:rPr/>
      </w:pPr>
      <w:r>
        <w:rPr/>
        <w:t>Technologies employed to meet the capacity in question,</w:t>
      </w:r>
    </w:p>
    <w:p>
      <w:pPr>
        <w:pStyle w:val="Normal"/>
        <w:numPr>
          <w:ilvl w:val="0"/>
          <w:numId w:val="3"/>
        </w:numPr>
        <w:rPr/>
      </w:pPr>
      <w:r>
        <w:rPr/>
        <w:t>Environmental/distribution system benefits,</w:t>
      </w:r>
    </w:p>
    <w:p>
      <w:pPr>
        <w:pStyle w:val="Normal"/>
        <w:numPr>
          <w:ilvl w:val="0"/>
          <w:numId w:val="3"/>
        </w:numPr>
        <w:rPr/>
      </w:pPr>
      <w:r>
        <w:rPr/>
        <w:t>The level of implementation, verification and administrative costs required.</w:t>
      </w:r>
    </w:p>
    <w:p>
      <w:pPr>
        <w:pStyle w:val="Normal"/>
        <w:tabs>
          <w:tab w:val="clear" w:pos="720"/>
          <w:tab w:val="left" w:pos="2700" w:leader="none"/>
        </w:tabs>
        <w:rPr/>
      </w:pPr>
      <w:r>
        <w:rPr/>
        <w:t> </w:t>
      </w:r>
    </w:p>
    <w:p>
      <w:pPr>
        <w:pStyle w:val="Normal"/>
        <w:tabs>
          <w:tab w:val="clear" w:pos="720"/>
          <w:tab w:val="left" w:pos="2700" w:leader="none"/>
        </w:tabs>
        <w:rPr/>
      </w:pPr>
      <w:r>
        <w:rPr/>
        <w:t>CECONY will award contracts based on capacity bids in accordance with the information supplied under this RFB.  Preference will be given to the most cost effective (lowest cost) proposals, however; non-financial considerations will be given significant weight (as noted above).  CECONY will not be obligated to accept any of the bids.</w:t>
      </w:r>
    </w:p>
    <w:p>
      <w:pPr>
        <w:pStyle w:val="Normal"/>
        <w:tabs>
          <w:tab w:val="clear" w:pos="720"/>
          <w:tab w:val="left" w:pos="2700" w:leader="none"/>
        </w:tabs>
        <w:rPr/>
      </w:pPr>
      <w:r>
        <w:rPr/>
        <w:t> </w:t>
      </w:r>
    </w:p>
    <w:p>
      <w:pPr>
        <w:pStyle w:val="Normal"/>
        <w:tabs>
          <w:tab w:val="clear" w:pos="720"/>
          <w:tab w:val="left" w:pos="2700" w:leader="none"/>
        </w:tabs>
        <w:rPr/>
      </w:pPr>
      <w:r>
        <w:rPr/>
        <w:t>This program will be provided under a tariff to be filed with the PSC for its approval. The Commission may approve, modify or reject the Company’s filing in whole or in part. In the event that the Commission substantially modifies the program prior to its commencement or at any time thereafter, Con Edison reject all proposals or may file with the Commission a withdrawal of the program or further modifications of the terms and conditions.</w:t>
      </w:r>
    </w:p>
    <w:p>
      <w:pPr>
        <w:pStyle w:val="Normal"/>
        <w:tabs>
          <w:tab w:val="clear" w:pos="720"/>
          <w:tab w:val="left" w:pos="2700" w:leader="none"/>
        </w:tabs>
        <w:rPr/>
      </w:pPr>
      <w:r>
        <w:rPr/>
        <w:t> </w:t>
      </w:r>
    </w:p>
    <w:p>
      <w:pPr>
        <w:pStyle w:val="Normal"/>
        <w:rPr>
          <w:b/>
          <w:bCs/>
        </w:rPr>
      </w:pPr>
      <w:r>
        <w:rPr>
          <w:b/>
          <w:bCs/>
        </w:rPr>
        <w:t>Terms and Conditions:</w:t>
      </w:r>
    </w:p>
    <w:p>
      <w:pPr>
        <w:pStyle w:val="Heading3"/>
        <w:ind w:hanging="0" w:start="0"/>
        <w:rPr/>
      </w:pPr>
      <w:r>
        <w:rPr/>
        <w:t>Notice</w:t>
      </w:r>
    </w:p>
    <w:p>
      <w:pPr>
        <w:pStyle w:val="Normal"/>
        <w:rPr/>
      </w:pPr>
      <w:r>
        <w:rPr>
          <w:szCs w:val="20"/>
        </w:rPr>
        <w:t xml:space="preserve">Each program participant (the bidders awarded contracts under this program) shall designate in writing an authorized representative and an alternate representative to receive the notice for each demand reduction event. CECONY will notify the participants no less than 30 minutes in advance of each demand reduction event of the need for contracted capacity.  </w:t>
      </w:r>
      <w:r>
        <w:rPr/>
        <w:t xml:space="preserve">Notice would be made through telephone communications.  Failure to acknowledge notice after three (3) attempts by CECONY will constitute non-compliance. </w:t>
      </w:r>
      <w:r>
        <w:rPr>
          <w:szCs w:val="20"/>
        </w:rPr>
        <w:t xml:space="preserve"> In all cases, the participants must provide their contracted capacity within 30 minutes after the calls are issued. </w:t>
      </w:r>
    </w:p>
    <w:p>
      <w:pPr>
        <w:pStyle w:val="Normal"/>
        <w:rPr/>
      </w:pPr>
      <w:r>
        <w:rPr/>
        <w:t> </w:t>
      </w:r>
    </w:p>
    <w:p>
      <w:pPr>
        <w:pStyle w:val="Heading3"/>
        <w:ind w:hanging="0" w:start="0"/>
        <w:rPr/>
      </w:pPr>
      <w:r>
        <w:rPr/>
        <w:t>Maximum Size Per Location</w:t>
      </w:r>
    </w:p>
    <w:p>
      <w:pPr>
        <w:pStyle w:val="Normal"/>
        <w:rPr/>
      </w:pPr>
      <w:r>
        <w:rPr/>
        <w:t>The maximum “net generation” and/or “net load reduction” for any single location is limited to the peak load consumed at that location.</w:t>
      </w:r>
      <w:r>
        <w:br w:type="page"/>
      </w:r>
    </w:p>
    <w:p>
      <w:pPr>
        <w:pStyle w:val="Normal"/>
        <w:rPr>
          <w:b/>
          <w:bCs/>
        </w:rPr>
      </w:pPr>
      <w:r>
        <w:rPr>
          <w:b/>
          <w:bCs/>
        </w:rPr>
        <w:t>Penalty:</w:t>
      </w:r>
    </w:p>
    <w:p>
      <w:pPr>
        <w:pStyle w:val="Normal"/>
        <w:rPr/>
      </w:pPr>
      <w:r>
        <w:rPr/>
        <w:t>Participants will be assessed a penalty amounting to twice the bid per kilowatt for any instance of non-compliance with the terms and conditions in the tariff to the extent the contracted load reduction was not provided for the full period of any event.  The penalty would apply to any partial non-compliance.</w:t>
      </w:r>
    </w:p>
    <w:p>
      <w:pPr>
        <w:pStyle w:val="Normal"/>
        <w:rPr/>
      </w:pPr>
      <w:r>
        <w:rPr/>
        <w:t> </w:t>
      </w:r>
    </w:p>
    <w:p>
      <w:pPr>
        <w:pStyle w:val="Normal"/>
        <w:rPr/>
      </w:pPr>
      <w:r>
        <w:rPr/>
        <w:t>For example:</w:t>
      </w:r>
    </w:p>
    <w:p>
      <w:pPr>
        <w:pStyle w:val="Normal"/>
        <w:rPr/>
      </w:pPr>
      <w:r>
        <w:rPr/>
        <w:t>The accepted proposal is $10 per kilowatt per month for 5 megawatts.  CECONY calls for capacity two times during June 2002.  The participant provides only 3 megawatts of capacity during each request.  The penalty amount charged to this participant is $80,000 for June 2002.</w:t>
      </w:r>
    </w:p>
    <w:p>
      <w:pPr>
        <w:pStyle w:val="Normal"/>
        <w:rPr/>
      </w:pPr>
      <w:r>
        <w:rPr/>
        <w:t> </w:t>
      </w:r>
    </w:p>
    <w:p>
      <w:pPr>
        <w:pStyle w:val="Normal"/>
        <w:rPr/>
      </w:pPr>
      <w:r>
        <w:rPr/>
        <w:t>1</w:t>
      </w:r>
      <w:r>
        <w:rPr>
          <w:vertAlign w:val="superscript"/>
        </w:rPr>
        <w:t>st</w:t>
      </w:r>
      <w:r>
        <w:rPr/>
        <w:t xml:space="preserve"> request – 2,000 kilowatts x 2 x $10 /kilowatt = $40,000</w:t>
      </w:r>
    </w:p>
    <w:p>
      <w:pPr>
        <w:pStyle w:val="Normal"/>
        <w:rPr/>
      </w:pPr>
      <w:r>
        <w:rPr>
          <w:u w:val="single"/>
        </w:rPr>
        <w:t>2</w:t>
      </w:r>
      <w:r>
        <w:rPr>
          <w:u w:val="single"/>
          <w:vertAlign w:val="superscript"/>
        </w:rPr>
        <w:t>nd</w:t>
      </w:r>
      <w:r>
        <w:rPr>
          <w:u w:val="single"/>
        </w:rPr>
        <w:t xml:space="preserve"> request – 2,000 kilowatts x 2 x $10/kilowatt= $40,000</w:t>
      </w:r>
    </w:p>
    <w:p>
      <w:pPr>
        <w:pStyle w:val="Normal"/>
        <w:rPr/>
      </w:pPr>
      <w:r>
        <w:rPr/>
        <w:t>Total penalty = $80,000</w:t>
      </w:r>
    </w:p>
    <w:p>
      <w:pPr>
        <w:pStyle w:val="Normal"/>
        <w:rPr/>
      </w:pPr>
      <w:r>
        <w:rPr/>
        <w:t> </w:t>
      </w:r>
    </w:p>
    <w:p>
      <w:pPr>
        <w:pStyle w:val="Normal"/>
        <w:rPr/>
      </w:pPr>
      <w:r>
        <w:rPr/>
        <w:t>Any outstanding penalty balances will be subtracted from the 2</w:t>
      </w:r>
      <w:r>
        <w:rPr>
          <w:vertAlign w:val="superscript"/>
        </w:rPr>
        <w:t>nd</w:t>
      </w:r>
      <w:r>
        <w:rPr/>
        <w:t xml:space="preserve"> and /or 3</w:t>
      </w:r>
      <w:r>
        <w:rPr>
          <w:vertAlign w:val="superscript"/>
        </w:rPr>
        <w:t>rd</w:t>
      </w:r>
      <w:r>
        <w:rPr/>
        <w:t xml:space="preserve"> payment. All penalty payments are due at the end of the following month in which the non-compliance(s) occurred. In a calendar year, penalty payments will not exceed twice the contract amount awarded to the customer or the ESCO.  At the sole discretion of CECONY, the failure to comply with the request for capacity may result in termination from the Demand Response Program.</w:t>
      </w:r>
    </w:p>
    <w:p>
      <w:pPr>
        <w:pStyle w:val="Normal"/>
        <w:rPr/>
      </w:pPr>
      <w:r>
        <w:rPr/>
        <w:t> </w:t>
      </w:r>
    </w:p>
    <w:p>
      <w:pPr>
        <w:pStyle w:val="Normal"/>
        <w:rPr>
          <w:b/>
          <w:bCs/>
        </w:rPr>
      </w:pPr>
      <w:r>
        <w:rPr>
          <w:b/>
          <w:bCs/>
        </w:rPr>
        <w:t xml:space="preserve">Requirements: </w:t>
      </w:r>
    </w:p>
    <w:p>
      <w:pPr>
        <w:pStyle w:val="Normal"/>
        <w:rPr/>
      </w:pPr>
      <w:r>
        <w:rPr/>
        <w:t xml:space="preserve">Interconnection – “Behind the fence generation” or generation situated within the customer’s property line is limited to generation operated in compliance with all relevant tariff requirements by or on behalf of customers or ESCOs offering load reductions/capacity.  Such generation is not synchronized to CECONY, or if synchronized to CECONY, support a load that is equal to or in excess of the generation capacity.  No generation may supply energy to the distribution system. </w:t>
      </w:r>
    </w:p>
    <w:p>
      <w:pPr>
        <w:pStyle w:val="Normal"/>
        <w:rPr/>
      </w:pPr>
      <w:r>
        <w:rPr/>
        <w:t> </w:t>
      </w:r>
    </w:p>
    <w:p>
      <w:pPr>
        <w:pStyle w:val="Normal"/>
        <w:rPr/>
      </w:pPr>
      <w:r>
        <w:rPr/>
        <w:t xml:space="preserve">Metering – The “Net generation” and/or “Net load reduction” </w:t>
      </w:r>
      <w:r>
        <w:rPr>
          <w:szCs w:val="20"/>
        </w:rPr>
        <w:t xml:space="preserve">must be measured by one or more interval meters that meet PSC standards for revenue-grade metering.  The “Net load reduction” would be the difference between the customer’s actual load and the customer’s baseline load. </w:t>
      </w:r>
    </w:p>
    <w:p>
      <w:pPr>
        <w:pStyle w:val="Normal"/>
        <w:rPr>
          <w:szCs w:val="20"/>
        </w:rPr>
      </w:pPr>
      <w:r>
        <w:rPr>
          <w:szCs w:val="20"/>
        </w:rPr>
        <w:t> </w:t>
      </w:r>
    </w:p>
    <w:p>
      <w:pPr>
        <w:pStyle w:val="Normal"/>
        <w:rPr>
          <w:szCs w:val="20"/>
        </w:rPr>
      </w:pPr>
      <w:r>
        <w:rPr>
          <w:szCs w:val="20"/>
        </w:rPr>
        <w:t xml:space="preserve">The baseline load is calculated based on the respondent’s five highest kilowatt demands during similar hours, excluding curtailment periods called by the New York Independent System Operator, over the past 10 weekdays.  The participants are responsible for the cost of the interval meter installations. </w:t>
      </w:r>
    </w:p>
    <w:p>
      <w:pPr>
        <w:pStyle w:val="Normal"/>
        <w:rPr/>
      </w:pPr>
      <w:r>
        <w:rPr/>
        <w:t> </w:t>
      </w:r>
    </w:p>
    <w:p>
      <w:pPr>
        <w:pStyle w:val="Normal"/>
        <w:rPr/>
      </w:pPr>
      <w:r>
        <w:rPr/>
        <w:t>Telemetry</w:t>
      </w:r>
      <w:r>
        <w:rPr>
          <w:szCs w:val="20"/>
        </w:rPr>
        <w:t xml:space="preserve"> – The participants are responsible for providing facilities, including pilot wiring between metering equipment, and services for the transmission of the interval meter data to Con Edison. </w:t>
      </w:r>
    </w:p>
    <w:p>
      <w:pPr>
        <w:pStyle w:val="Normal"/>
        <w:rPr/>
      </w:pPr>
      <w:r>
        <w:rPr/>
        <w:t> </w:t>
      </w:r>
    </w:p>
    <w:p>
      <w:pPr>
        <w:pStyle w:val="Normal"/>
        <w:rPr/>
      </w:pPr>
      <w:r>
        <w:rPr/>
        <w:t>Permitting/Registration – Each participant is r</w:t>
      </w:r>
      <w:r>
        <w:rPr>
          <w:szCs w:val="20"/>
        </w:rPr>
        <w:t>esponsible for ensuring that the operation of onsite generation equipment in order to meet CECONY’s request for capacity under the Demand Response Program will be in conformance with any permits, licenses and government limitations on operation, including any environmental limitations.</w:t>
      </w:r>
    </w:p>
    <w:p>
      <w:pPr>
        <w:pStyle w:val="Normal"/>
        <w:rPr>
          <w:b/>
          <w:bCs/>
          <w:szCs w:val="20"/>
        </w:rPr>
      </w:pPr>
      <w:r>
        <w:rPr>
          <w:b/>
          <w:bCs/>
          <w:szCs w:val="20"/>
        </w:rPr>
      </w:r>
    </w:p>
    <w:p>
      <w:pPr>
        <w:pStyle w:val="Normal"/>
        <w:rPr>
          <w:b/>
          <w:bCs/>
        </w:rPr>
      </w:pPr>
      <w:r>
        <w:rPr>
          <w:b/>
          <w:bCs/>
        </w:rPr>
        <w:t xml:space="preserve">Project Timing: </w:t>
      </w:r>
    </w:p>
    <w:p>
      <w:pPr>
        <w:pStyle w:val="Normal"/>
        <w:rPr/>
      </w:pPr>
      <w:r>
        <w:rPr/>
        <w:t>All bids to supply capacity must be submitted by the close of business March 1, 2002.  The participants must demonstrate the ability to deliver the capacity obligation set forth in this RFB by April 1, 2002. CECONY must be notified of the opportunity to observe the testing.</w:t>
      </w:r>
    </w:p>
    <w:p>
      <w:pPr>
        <w:pStyle w:val="Normal"/>
        <w:rPr/>
      </w:pPr>
      <w:r>
        <w:rPr/>
        <w:t> </w:t>
      </w:r>
    </w:p>
    <w:p>
      <w:pPr>
        <w:pStyle w:val="Heading4"/>
        <w:spacing w:lineRule="auto" w:line="240"/>
        <w:ind w:hanging="0" w:start="0"/>
        <w:rPr>
          <w:u w:val="none"/>
        </w:rPr>
      </w:pPr>
      <w:r>
        <w:rPr>
          <w:u w:val="none"/>
        </w:rPr>
        <w:t>ESCO/Company/Customer Description:</w:t>
      </w:r>
    </w:p>
    <w:p>
      <w:pPr>
        <w:pStyle w:val="BodyText"/>
        <w:rPr/>
      </w:pPr>
      <w:r>
        <w:rPr/>
        <w:t>In submitting the bid, please provide a full description of the ESCO(s), the customer(s) or company(s) participating in the submittal. Indicate whether the proper insurance (liability, property, casualty) indemnification polices are in effect. Specify the key personnel responsible for managing, implementing and operating the required calls for capacity.</w:t>
      </w:r>
    </w:p>
    <w:p>
      <w:pPr>
        <w:pStyle w:val="Normal"/>
        <w:rPr/>
      </w:pPr>
      <w:r>
        <w:rPr/>
        <w:t> </w:t>
      </w:r>
    </w:p>
    <w:p>
      <w:pPr>
        <w:pStyle w:val="Normal"/>
        <w:rPr>
          <w:b/>
          <w:bCs/>
        </w:rPr>
      </w:pPr>
      <w:r>
        <w:rPr>
          <w:b/>
          <w:bCs/>
        </w:rPr>
        <w:t>Project Submittal:</w:t>
      </w:r>
    </w:p>
    <w:p>
      <w:pPr>
        <w:pStyle w:val="Normal"/>
        <w:rPr/>
      </w:pPr>
      <w:r>
        <w:rPr/>
        <w:t>In order to meet minimal information requirements set forth under the Request For Bid, the following items must be provided in sufficient detail:</w:t>
      </w:r>
    </w:p>
    <w:p>
      <w:pPr>
        <w:pStyle w:val="Normal"/>
        <w:rPr/>
      </w:pPr>
      <w:r>
        <w:rPr/>
        <w:t> </w:t>
      </w:r>
    </w:p>
    <w:p>
      <w:pPr>
        <w:pStyle w:val="Normal"/>
        <w:numPr>
          <w:ilvl w:val="0"/>
          <w:numId w:val="2"/>
        </w:numPr>
        <w:tabs>
          <w:tab w:val="left" w:pos="720" w:leader="none"/>
        </w:tabs>
        <w:ind w:hanging="360" w:start="720" w:end="0"/>
        <w:rPr/>
      </w:pPr>
      <w:r>
        <w:rPr/>
        <w:t>Each proposal must set forth the offered capacity by year (2002, 2003 or both) in dollars per kilowatt for the 3-month capability period.</w:t>
      </w:r>
    </w:p>
    <w:p>
      <w:pPr>
        <w:pStyle w:val="Normal"/>
        <w:ind w:firstLine="60" w:end="0"/>
        <w:rPr/>
      </w:pPr>
      <w:r>
        <w:rPr/>
      </w:r>
    </w:p>
    <w:p>
      <w:pPr>
        <w:pStyle w:val="Normal"/>
        <w:numPr>
          <w:ilvl w:val="0"/>
          <w:numId w:val="2"/>
        </w:numPr>
        <w:tabs>
          <w:tab w:val="left" w:pos="720" w:leader="none"/>
        </w:tabs>
        <w:ind w:hanging="360" w:start="720" w:end="0"/>
        <w:rPr/>
      </w:pPr>
      <w:r>
        <w:rPr/>
        <w:t>Customer locations must be identified (name of business/organization, address, contact person and CECONY account if available) including the amount of capacity offered at each location.</w:t>
      </w:r>
    </w:p>
    <w:p>
      <w:pPr>
        <w:pStyle w:val="Normal"/>
        <w:ind w:firstLine="60" w:end="0"/>
        <w:rPr/>
      </w:pPr>
      <w:r>
        <w:rPr/>
      </w:r>
    </w:p>
    <w:p>
      <w:pPr>
        <w:pStyle w:val="Normal"/>
        <w:numPr>
          <w:ilvl w:val="0"/>
          <w:numId w:val="2"/>
        </w:numPr>
        <w:tabs>
          <w:tab w:val="left" w:pos="720" w:leader="none"/>
        </w:tabs>
        <w:ind w:hanging="360" w:start="720" w:end="0"/>
        <w:rPr/>
      </w:pPr>
      <w:r>
        <w:rPr/>
        <w:t>Agreements (or preceding agreements) from customers participating in the capacity offer must be included.</w:t>
      </w:r>
    </w:p>
    <w:p>
      <w:pPr>
        <w:pStyle w:val="Normal"/>
        <w:ind w:firstLine="60" w:end="0"/>
        <w:rPr/>
      </w:pPr>
      <w:r>
        <w:rPr/>
      </w:r>
    </w:p>
    <w:p>
      <w:pPr>
        <w:pStyle w:val="Normal"/>
        <w:numPr>
          <w:ilvl w:val="0"/>
          <w:numId w:val="2"/>
        </w:numPr>
        <w:tabs>
          <w:tab w:val="left" w:pos="720" w:leader="none"/>
        </w:tabs>
        <w:ind w:hanging="360" w:start="720" w:end="0"/>
        <w:rPr/>
      </w:pPr>
      <w:r>
        <w:rPr/>
        <w:t>Technologies whether load shedding and/or onsite generation must be detailed.  The percent the capacity derived from load shedding strategies versus the use of onsite generation must be explained.</w:t>
      </w:r>
    </w:p>
    <w:p>
      <w:pPr>
        <w:pStyle w:val="Normal"/>
        <w:ind w:firstLine="60" w:end="0"/>
        <w:rPr/>
      </w:pPr>
      <w:r>
        <w:rPr/>
      </w:r>
    </w:p>
    <w:p>
      <w:pPr>
        <w:pStyle w:val="Normal"/>
        <w:numPr>
          <w:ilvl w:val="0"/>
          <w:numId w:val="2"/>
        </w:numPr>
        <w:tabs>
          <w:tab w:val="left" w:pos="720" w:leader="none"/>
        </w:tabs>
        <w:ind w:hanging="360" w:start="720" w:end="0"/>
        <w:rPr/>
      </w:pPr>
      <w:r>
        <w:rPr/>
        <w:t>If emergency generation or onsite generation is employed to meet the capacity call, please provide the necessary documentation demonstrating the equipment meets all New York State Department of Environmental Conservation’s environmental requirements and permitting.</w:t>
      </w:r>
    </w:p>
    <w:p>
      <w:pPr>
        <w:pStyle w:val="Normal"/>
        <w:ind w:firstLine="60" w:end="0"/>
        <w:rPr/>
      </w:pPr>
      <w:r>
        <w:rPr/>
      </w:r>
    </w:p>
    <w:p>
      <w:pPr>
        <w:pStyle w:val="Normal"/>
        <w:numPr>
          <w:ilvl w:val="0"/>
          <w:numId w:val="2"/>
        </w:numPr>
        <w:tabs>
          <w:tab w:val="left" w:pos="720" w:leader="none"/>
        </w:tabs>
        <w:ind w:hanging="360" w:start="720" w:end="0"/>
        <w:rPr/>
      </w:pPr>
      <w:r>
        <w:rPr/>
        <w:t>After calls by CECONY are issued for capacity, the process of achieving the contracted capacity must be explained including the process, protocols, customer communications, etc.</w:t>
      </w:r>
    </w:p>
    <w:p>
      <w:pPr>
        <w:pStyle w:val="Normal"/>
        <w:ind w:firstLine="60" w:end="0"/>
        <w:rPr/>
      </w:pPr>
      <w:r>
        <w:rPr/>
      </w:r>
    </w:p>
    <w:p>
      <w:pPr>
        <w:pStyle w:val="Normal"/>
        <w:numPr>
          <w:ilvl w:val="0"/>
          <w:numId w:val="2"/>
        </w:numPr>
        <w:tabs>
          <w:tab w:val="left" w:pos="720" w:leader="none"/>
        </w:tabs>
        <w:ind w:hanging="360" w:start="720" w:end="0"/>
        <w:rPr/>
      </w:pPr>
      <w:r>
        <w:rPr/>
        <w:t>If any secondary or back-up systems are employed to achieve the capacity requirements, they must be detailed.</w:t>
      </w:r>
    </w:p>
    <w:p>
      <w:pPr>
        <w:pStyle w:val="Normal"/>
        <w:rPr/>
      </w:pPr>
      <w:r>
        <w:rPr/>
        <w:t> </w:t>
      </w:r>
    </w:p>
    <w:p>
      <w:pPr>
        <w:pStyle w:val="Normal"/>
        <w:numPr>
          <w:ilvl w:val="0"/>
          <w:numId w:val="2"/>
        </w:numPr>
        <w:tabs>
          <w:tab w:val="left" w:pos="720" w:leader="none"/>
        </w:tabs>
        <w:ind w:hanging="360" w:start="720" w:end="0"/>
        <w:rPr/>
      </w:pPr>
      <w:r>
        <w:rPr/>
        <w:t xml:space="preserve">To the extent, the ESCO, customer, aggregator has experience with similar capacity related offers or initiatives that demonstrate competency/understanding of the matters under consideration, please list such projects.  Include in the proposal a list of references that can be checked to establish credibility/competency and performance satisfaction. </w:t>
      </w:r>
    </w:p>
    <w:p>
      <w:pPr>
        <w:pStyle w:val="Normal"/>
        <w:rPr/>
      </w:pPr>
      <w:r>
        <w:rPr/>
        <w:t> </w:t>
      </w:r>
    </w:p>
    <w:p>
      <w:pPr>
        <w:pStyle w:val="Normal"/>
        <w:rPr>
          <w:b/>
          <w:bCs/>
        </w:rPr>
      </w:pPr>
      <w:r>
        <w:rPr>
          <w:b/>
          <w:bCs/>
        </w:rPr>
        <w:t>Contact Information:</w:t>
      </w:r>
    </w:p>
    <w:p>
      <w:pPr>
        <w:pStyle w:val="Normal"/>
        <w:rPr/>
      </w:pPr>
      <w:r>
        <w:rPr/>
        <w:t>All project submittals and/or questions are to be directed to:</w:t>
      </w:r>
    </w:p>
    <w:p>
      <w:pPr>
        <w:pStyle w:val="Normal"/>
        <w:rPr/>
      </w:pPr>
      <w:r>
        <w:rPr/>
        <w:t> </w:t>
      </w:r>
    </w:p>
    <w:p>
      <w:pPr>
        <w:pStyle w:val="Normal"/>
        <w:rPr/>
      </w:pPr>
      <w:r>
        <w:rPr/>
        <w:t>Anita Ma, Project Manager</w:t>
      </w:r>
    </w:p>
    <w:p>
      <w:pPr>
        <w:pStyle w:val="Normal"/>
        <w:rPr/>
      </w:pPr>
      <w:r>
        <w:rPr/>
        <w:t>Consolidated Edison Company of New York, Inc.</w:t>
      </w:r>
    </w:p>
    <w:p>
      <w:pPr>
        <w:pStyle w:val="Normal"/>
        <w:rPr/>
      </w:pPr>
      <w:r>
        <w:rPr/>
        <w:t>4 Irving Place, Room 1450-S</w:t>
      </w:r>
    </w:p>
    <w:p>
      <w:pPr>
        <w:pStyle w:val="Normal"/>
        <w:rPr/>
      </w:pPr>
      <w:r>
        <w:rPr/>
        <w:t>New York, NY 10003</w:t>
      </w:r>
    </w:p>
    <w:p>
      <w:pPr>
        <w:pStyle w:val="Normal"/>
        <w:rPr/>
      </w:pPr>
      <w:r>
        <w:rPr/>
        <w:t>Telephone: 212-460-1328</w:t>
      </w:r>
    </w:p>
    <w:p>
      <w:pPr>
        <w:pStyle w:val="Normal"/>
        <w:rPr/>
      </w:pPr>
      <w:r>
        <w:rPr/>
        <w:t>Fax: 212-529-1130</w:t>
      </w:r>
    </w:p>
    <w:p>
      <w:pPr>
        <w:pStyle w:val="Normal"/>
        <w:rPr/>
      </w:pPr>
      <w:r>
        <w:rPr/>
        <w:t xml:space="preserve">E-mail: </w:t>
      </w:r>
      <w:hyperlink r:id="rId2">
        <w:r>
          <w:rPr>
            <w:rStyle w:val="Hyperlink"/>
          </w:rPr>
          <w:t>maa@coned.com</w:t>
        </w:r>
      </w:hyperlink>
      <w:r>
        <w:rPr/>
        <w:t xml:space="preserve"> </w:t>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spacing w:lineRule="auto" w:line="360"/>
      <w:jc w:val="both"/>
      <w:outlineLvl w:val="3"/>
    </w:pPr>
    <w:rPr>
      <w:b/>
      <w:u w:val="singl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Times New Roman"/>
    </w:rPr>
  </w:style>
  <w:style w:type="character" w:styleId="WW8Num3z2">
    <w:name w:val="WW8Num3z2"/>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a@coned.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2001-12-05T19:40:00Z</dcterms:created>
  <dc:creator>Brian</dc:creator>
  <dc:description/>
  <dc:language>en-CA</dc:language>
  <cp:lastModifiedBy>Anita Ma</cp:lastModifiedBy>
  <dcterms:modified xsi:type="dcterms:W3CDTF">2002-01-16T11:14:00Z</dcterms:modified>
  <cp:revision>36</cp:revision>
  <dc:subject/>
  <dc:title>Availability:  </dc:title>
</cp:coreProperties>
</file>