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spacing w:lineRule="atLeast" w:line="240"/>
        <w:rPr>
          <w:color w:val="000000"/>
          <w:lang w:eastAsia="en-US"/>
        </w:rPr>
      </w:pPr>
      <w:r>
        <w:rPr>
          <w:color w:val="000000"/>
          <w:lang w:eastAsia="en-US"/>
        </w:rPr>
        <w:t>The Chase Manhattan Bank</w:t>
      </w:r>
    </w:p>
    <w:p>
      <w:pPr>
        <w:pStyle w:val="Normal"/>
        <w:spacing w:lineRule="atLeast" w:line="240"/>
        <w:rPr>
          <w:color w:val="000000"/>
          <w:lang w:eastAsia="en-US"/>
        </w:rPr>
      </w:pPr>
      <w:r>
        <w:rPr>
          <w:color w:val="000000"/>
          <w:lang w:eastAsia="en-US"/>
        </w:rPr>
        <w:t>140 East 45th Street</w:t>
      </w:r>
    </w:p>
    <w:p>
      <w:pPr>
        <w:pStyle w:val="Normal"/>
        <w:spacing w:lineRule="atLeast" w:line="240"/>
        <w:rPr>
          <w:color w:val="000000"/>
          <w:lang w:eastAsia="en-US"/>
        </w:rPr>
      </w:pPr>
      <w:r>
        <w:rPr>
          <w:color w:val="000000"/>
          <w:lang w:eastAsia="en-US"/>
        </w:rPr>
        <w:t>2 Grand Central Tower, 15th Floor</w:t>
      </w:r>
    </w:p>
    <w:p>
      <w:pPr>
        <w:pStyle w:val="Normal"/>
        <w:spacing w:lineRule="atLeast" w:line="240"/>
        <w:rPr>
          <w:color w:val="000000"/>
          <w:lang w:eastAsia="en-US"/>
        </w:rPr>
      </w:pPr>
      <w:r>
        <w:rPr>
          <w:color w:val="000000"/>
          <w:lang w:eastAsia="en-US"/>
        </w:rPr>
        <w:t>New York, N.Y. 10017</w:t>
      </w:r>
    </w:p>
    <w:p>
      <w:pPr>
        <w:pStyle w:val="Normal"/>
        <w:spacing w:lineRule="atLeast" w:line="240"/>
        <w:rPr>
          <w:color w:val="000000"/>
          <w:lang w:eastAsia="en-US"/>
        </w:rPr>
      </w:pPr>
      <w:r>
        <w:rPr>
          <w:color w:val="000000"/>
          <w:lang w:eastAsia="en-US"/>
        </w:rPr>
        <w:t>Attn: Erik Gerkin</w:t>
      </w:r>
    </w:p>
    <w:p>
      <w:pPr>
        <w:pStyle w:val="Normal"/>
        <w:spacing w:lineRule="atLeast" w:line="240"/>
        <w:rPr>
          <w:color w:val="000000"/>
          <w:lang w:eastAsia="en-US"/>
        </w:rPr>
      </w:pPr>
      <w:r>
        <w:rPr>
          <w:color w:val="000000"/>
          <w:lang w:eastAsia="en-US"/>
        </w:rPr>
      </w:r>
    </w:p>
    <w:p>
      <w:pPr>
        <w:pStyle w:val="Normal"/>
        <w:rPr>
          <w:color w:val="000000"/>
          <w:lang w:eastAsia="en-US"/>
        </w:rPr>
      </w:pPr>
      <w:r>
        <w:rPr>
          <w:color w:val="000000"/>
          <w:lang w:eastAsia="en-US"/>
        </w:rPr>
        <w:t>Fax:</w:t>
        <w:tab/>
        <w:t>(212) 622-1835</w:t>
      </w:r>
    </w:p>
    <w:p>
      <w:pPr>
        <w:pStyle w:val="Normal"/>
        <w:rPr>
          <w:color w:val="000000"/>
          <w:lang w:eastAsia="en-US"/>
        </w:rPr>
      </w:pPr>
      <w:r>
        <w:rPr>
          <w:color w:val="000000"/>
          <w:lang w:eastAsia="en-US"/>
        </w:rPr>
      </w:r>
    </w:p>
    <w:p>
      <w:pPr>
        <w:pStyle w:val="Normal"/>
        <w:rPr/>
      </w:pPr>
      <w:r>
        <w:rPr/>
        <w:t>Re:  Commodity Swap Transaction – Cash Settled (ECT Reference No. sw4400534) (the “Transaction”)</w:t>
      </w:r>
    </w:p>
    <w:p>
      <w:pPr>
        <w:pStyle w:val="Normal"/>
        <w:rPr/>
      </w:pPr>
      <w:r>
        <w:rPr/>
      </w:r>
    </w:p>
    <w:p>
      <w:pPr>
        <w:pStyle w:val="Normal"/>
        <w:rPr/>
      </w:pPr>
      <w:r>
        <w:rPr/>
        <w:t>Ladies and Gentlemen:</w:t>
      </w:r>
    </w:p>
    <w:p>
      <w:pPr>
        <w:pStyle w:val="Normal"/>
        <w:rPr/>
      </w:pPr>
      <w:r>
        <w:rPr/>
      </w:r>
    </w:p>
    <w:p>
      <w:pPr>
        <w:pStyle w:val="Normal"/>
        <w:rPr/>
      </w:pPr>
      <w:r>
        <w:rPr/>
        <w:t>This letter is being provided to you pursuant to the swap confirmation between The Chase Manhattan Bank (“Chase”) and Enron Capital &amp; Trade Resources Corp. (“ECT”) dated April 12, 1999 (the “Confirmation”).</w:t>
      </w:r>
    </w:p>
    <w:p>
      <w:pPr>
        <w:pStyle w:val="Normal"/>
        <w:rPr/>
      </w:pPr>
      <w:r>
        <w:rPr/>
      </w:r>
    </w:p>
    <w:p>
      <w:pPr>
        <w:pStyle w:val="Normal"/>
        <w:rPr/>
      </w:pPr>
      <w:r>
        <w:rPr/>
        <w:t xml:space="preserve">Pursuant to paragraph 2 subparagraph (6) of the Confirmation the term “Market Value” for purposes of the associated swap Transaction is to be determined in good faith based upon ECT’s quotation for the Transaction.  </w:t>
      </w:r>
    </w:p>
    <w:p>
      <w:pPr>
        <w:pStyle w:val="Normal"/>
        <w:rPr/>
      </w:pPr>
      <w:r>
        <w:rPr/>
      </w:r>
    </w:p>
    <w:p>
      <w:pPr>
        <w:pStyle w:val="Normal"/>
        <w:rPr/>
      </w:pPr>
      <w:r>
        <w:rPr/>
        <w:t>As we have verbally agreed, ECT will provide to Chase from time to time ECT’s weighted average mid-market price quotation for each delivery point used with respect to the Transaction.  The mid-market price quotations for all volumes for which financial settlement has yet to occur, as of May 1, 1999, are set forth below:</w:t>
      </w:r>
    </w:p>
    <w:p>
      <w:pPr>
        <w:pStyle w:val="Normal"/>
        <w:rPr/>
      </w:pPr>
      <w:r>
        <w:rPr/>
      </w:r>
    </w:p>
    <w:p>
      <w:pPr>
        <w:pStyle w:val="Normal"/>
        <w:rPr/>
      </w:pPr>
      <w:r>
        <w:rPr/>
      </w:r>
    </w:p>
    <w:tbl>
      <w:tblPr>
        <w:tblW w:w="7848" w:type="dxa"/>
        <w:jc w:val="start"/>
        <w:tblInd w:w="0" w:type="dxa"/>
        <w:tblLayout w:type="fixed"/>
        <w:tblCellMar>
          <w:top w:w="0" w:type="dxa"/>
          <w:start w:w="108" w:type="dxa"/>
          <w:bottom w:w="0" w:type="dxa"/>
          <w:end w:w="108" w:type="dxa"/>
        </w:tblCellMar>
      </w:tblPr>
      <w:tblGrid>
        <w:gridCol w:w="3708"/>
        <w:gridCol w:w="2160"/>
        <w:gridCol w:w="1980"/>
      </w:tblGrid>
      <w:tr>
        <w:trPr/>
        <w:tc>
          <w:tcPr>
            <w:tcW w:w="3708"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b/>
              </w:rPr>
            </w:pPr>
            <w:r>
              <w:rPr>
                <w:b/>
              </w:rPr>
              <w:t>Location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b/>
              </w:rPr>
            </w:pPr>
            <w:r>
              <w:rPr>
                <w:b/>
              </w:rPr>
              <w:t>Remaining Volume (MMBtu)</w:t>
            </w:r>
          </w:p>
        </w:tc>
        <w:tc>
          <w:tcPr>
            <w:tcW w:w="1980" w:type="dxa"/>
            <w:tcBorders>
              <w:top w:val="single" w:sz="4" w:space="0" w:color="000000"/>
              <w:start w:val="single" w:sz="4" w:space="0" w:color="000000"/>
              <w:bottom w:val="single" w:sz="4" w:space="0" w:color="000000"/>
              <w:end w:val="single" w:sz="4" w:space="0" w:color="000000"/>
            </w:tcBorders>
          </w:tcPr>
          <w:p>
            <w:pPr>
              <w:pStyle w:val="Normal"/>
              <w:rPr>
                <w:b/>
              </w:rPr>
            </w:pPr>
            <w:r>
              <w:rPr>
                <w:b/>
              </w:rPr>
              <w:t>Current Mid-Market Price</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rPr/>
            </w:pPr>
            <w:r>
              <w:rPr/>
              <w:t>Northern California Border (Malin):</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$2.60</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rPr/>
            </w:pPr>
            <w:r>
              <w:rPr/>
              <w:t>San Juan (El Paso Natural Gas Co.):</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$2.43</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rPr/>
            </w:pPr>
            <w:r>
              <w:rPr/>
              <w:t>Southern California Border (Topock):</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$2.69</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rPr/>
            </w:pPr>
            <w:r>
              <w:rPr/>
              <w:t>Aeco:</w:t>
              <w:tab/>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$2.24</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rPr/>
            </w:pPr>
            <w:r>
              <w:rPr/>
              <w:t>Sumas:</w:t>
              <w:tab/>
              <w:tab/>
              <w:tab/>
              <w:tab/>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$2.31</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rPr/>
            </w:pPr>
            <w:r>
              <w:rPr/>
              <w:t>Northern Natural Gas Demarcation:</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$2.43</w:t>
            </w:r>
          </w:p>
        </w:tc>
      </w:tr>
    </w:tbl>
    <w:p>
      <w:pPr>
        <w:pStyle w:val="Normal"/>
        <w:rPr/>
      </w:pPr>
      <w:r>
        <w:rPr/>
        <w:tab/>
        <w:tab/>
        <w:tab/>
        <w:tab/>
      </w:r>
    </w:p>
    <w:p>
      <w:pPr>
        <w:pStyle w:val="Normal"/>
        <w:ind w:firstLine="720" w:end="0"/>
        <w:rPr/>
      </w:pPr>
      <w:r>
        <w:rPr/>
      </w:r>
    </w:p>
    <w:p>
      <w:pPr>
        <w:pStyle w:val="Normal"/>
        <w:rPr/>
      </w:pPr>
      <w:r>
        <w:rPr/>
        <w:t xml:space="preserve">This information is provided solely for purposes of determination of Market Value for the Transaction, and is not to be relied upon for any other purpose.  The information is not to be disclosed to any third party.  The quoted prices represent ECT’s best estimate of the mid point price for the remaining transaction volumes as of the specified date, and does not necessarily represent the price at which any natural gas was traded during that time period or any other time period.  </w:t>
      </w:r>
      <w:r>
        <w:rPr>
          <w:smallCaps/>
        </w:rPr>
        <w:t>ECT makes no representations or warranties as to the accuracy of the quoted prices, either express or implied, and expressly disclaims all liability for any use of the prices for any purpose other than calculation of Market Value under the Letter Agreement</w:t>
      </w:r>
      <w:r>
        <w:rPr/>
        <w:t>.</w:t>
      </w:r>
    </w:p>
    <w:p>
      <w:pPr>
        <w:pStyle w:val="Normal"/>
        <w:rPr/>
      </w:pPr>
      <w:r>
        <w:rPr/>
      </w:r>
    </w:p>
    <w:p>
      <w:pPr>
        <w:pStyle w:val="Normal"/>
        <w:rPr/>
      </w:pPr>
      <w:r>
        <w:rPr/>
        <w:t>Thank you for your consideration of this matter.</w:t>
      </w:r>
    </w:p>
    <w:p>
      <w:pPr>
        <w:pStyle w:val="Normal"/>
        <w:rPr/>
      </w:pPr>
      <w:r>
        <w:rPr/>
      </w:r>
    </w:p>
    <w:p>
      <w:pPr>
        <w:pStyle w:val="Normal"/>
        <w:rPr/>
      </w:pPr>
      <w:r>
        <w:rPr/>
        <w:t>Very truly yours,</w:t>
      </w:r>
    </w:p>
    <w:p>
      <w:pPr>
        <w:pStyle w:val="Normal"/>
        <w:rPr/>
      </w:pPr>
      <w:r>
        <w:rPr/>
      </w:r>
    </w:p>
    <w:p>
      <w:pPr>
        <w:pStyle w:val="Normal"/>
        <w:rPr/>
      </w:pPr>
      <w:r>
        <w:rPr/>
      </w:r>
    </w:p>
    <w:sectPr>
      <w:type w:val="nextPage"/>
      <w:pgSz w:w="12240" w:h="15840"/>
      <w:pgMar w:left="1800" w:right="180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1999-05-28T15:53:00Z</dcterms:created>
  <dc:creator>drasmus</dc:creator>
  <dc:description/>
  <dc:language>en-CA</dc:language>
  <cp:lastModifiedBy>drasmus</cp:lastModifiedBy>
  <dcterms:modified xsi:type="dcterms:W3CDTF">1999-06-01T17:13:00Z</dcterms:modified>
  <cp:revision>4</cp:revision>
  <dc:subject/>
  <dc:title>The Chase Manhattan Bank</dc:title>
</cp:coreProperties>
</file>