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jc w:val="center"/>
        <w:rPr/>
      </w:pPr>
      <w:r>
        <w:rPr/>
        <w:t>ChaseFX - Electronic Trading Service Schedule to the Access Agreement</w:t>
      </w:r>
    </w:p>
    <w:p>
      <w:pPr>
        <w:pStyle w:val="Normal"/>
        <w:jc w:val="both"/>
        <w:rPr>
          <w:b/>
          <w:sz w:val="24"/>
        </w:rPr>
      </w:pPr>
      <w:r>
        <w:rPr>
          <w:b/>
          <w:sz w:val="24"/>
        </w:rPr>
      </w:r>
    </w:p>
    <w:p>
      <w:pPr>
        <w:pStyle w:val="BodyText"/>
        <w:rPr/>
      </w:pPr>
      <w:r>
        <w:rPr/>
        <w:t>This is a Schedule of a Service as referred to in the Access Agreement between the parties.  Terms used but not otherwise defined herein shall have the meanings ascribed to them in the Access Agreement.</w:t>
      </w:r>
    </w:p>
    <w:p>
      <w:pPr>
        <w:pStyle w:val="Normal"/>
        <w:jc w:val="both"/>
        <w:rPr>
          <w:sz w:val="24"/>
        </w:rPr>
      </w:pPr>
      <w:r>
        <w:rPr>
          <w:sz w:val="24"/>
        </w:rPr>
        <w:t xml:space="preserve"> </w:t>
      </w:r>
    </w:p>
    <w:p>
      <w:pPr>
        <w:pStyle w:val="Normal"/>
        <w:jc w:val="both"/>
        <w:rPr/>
      </w:pPr>
      <w:r>
        <w:rPr>
          <w:b/>
          <w:sz w:val="24"/>
        </w:rPr>
        <w:t>1.</w:t>
        <w:tab/>
        <w:t>Description of Service.</w:t>
      </w:r>
      <w:r>
        <w:rPr>
          <w:sz w:val="24"/>
        </w:rPr>
        <w:t xml:space="preserve">  The Service (“ChaseFX”) covered by this Schedule is an electronic trading service for foreign exchange that allows Customer to enter into foreign exchange spot and forward transactions and cross-currency swap transactions (“FX Transactions”) with Chase.  The functionality of ChaseFX and a detailed description of its operation are set forth in the User Guide posted on the Chase Website.</w:t>
      </w:r>
    </w:p>
    <w:p>
      <w:pPr>
        <w:pStyle w:val="Normal"/>
        <w:jc w:val="both"/>
        <w:rPr>
          <w:sz w:val="24"/>
        </w:rPr>
      </w:pPr>
      <w:r>
        <w:rPr>
          <w:sz w:val="24"/>
        </w:rPr>
      </w:r>
    </w:p>
    <w:p>
      <w:pPr>
        <w:pStyle w:val="Normal"/>
        <w:jc w:val="both"/>
        <w:rPr/>
      </w:pPr>
      <w:r>
        <w:rPr>
          <w:b/>
          <w:sz w:val="24"/>
        </w:rPr>
        <w:t>2.</w:t>
        <w:tab/>
        <w:t>Terms of FX Transactions.</w:t>
      </w:r>
      <w:r>
        <w:rPr>
          <w:sz w:val="24"/>
        </w:rPr>
        <w:t xml:space="preserve">  Each FX Transaction entered into by Customer with Chase through ChaseFX shall be subject to the terms and conditions of any applicable agreement (the “Applicable Agreement”) between Chase and Customer governing the relevant FX Transaction, as well as being subject to the Agreement and any applicable Disclosures and User Guide.  An FX Transaction entered into through ChaseFX will not be deemed to have been executed until the completion of the steps (if any) identified on the Chase Website or in the applicable User Guide as being necessary for the execution of an FX Transaction.  Upon the completion of such steps, Chase and Customer shall have a binding FX Transaction between them.  Notwithstanding anything to the contrary in the Agreement, FX Transactions executed through ChaseFX shall be subject to the governing law identified in any Applicable Agreement.  If Customer does not have an Applicable Agreement with Chase, then each FX Transaction shall be subject to any Additional Terms entered into with respect hereto.  </w:t>
      </w:r>
    </w:p>
    <w:p>
      <w:pPr>
        <w:pStyle w:val="Normal"/>
        <w:jc w:val="both"/>
        <w:rPr>
          <w:b/>
          <w:sz w:val="24"/>
        </w:rPr>
      </w:pPr>
      <w:r>
        <w:rPr>
          <w:b/>
          <w:sz w:val="24"/>
        </w:rPr>
      </w:r>
    </w:p>
    <w:p>
      <w:pPr>
        <w:pStyle w:val="Normal"/>
        <w:jc w:val="both"/>
        <w:rPr/>
      </w:pPr>
      <w:r>
        <w:rPr>
          <w:b/>
          <w:sz w:val="24"/>
        </w:rPr>
        <w:t>3.  Chase Acting as Dealer</w:t>
      </w:r>
      <w:r>
        <w:rPr>
          <w:sz w:val="24"/>
        </w:rPr>
        <w:t>.  Customer acknowledges and agrees that (i) Chase is acting as a dealer in connection with ChaseFX, (ii) rates quoted to Customer may include differentials for, among other things, credit spreads, cost of carry, use of capital and profits, (iii) Chase may enter into foreign exchange transactions and cross-currency swaps at prices different from those reflected on ChaseFX, and (iv) Chase engages in trading in the foreign exchange markets for its proprietary accounts and on behalf of accounts under its management, which could affect the value of FX Transactions entered into by Customer.</w:t>
      </w:r>
    </w:p>
    <w:p>
      <w:pPr>
        <w:pStyle w:val="Normal"/>
        <w:jc w:val="both"/>
        <w:rPr>
          <w:b/>
          <w:sz w:val="24"/>
        </w:rPr>
      </w:pPr>
      <w:r>
        <w:rPr>
          <w:b/>
          <w:sz w:val="24"/>
        </w:rPr>
      </w:r>
    </w:p>
    <w:p>
      <w:pPr>
        <w:pStyle w:val="PlainText"/>
        <w:jc w:val="both"/>
        <w:rPr/>
      </w:pPr>
      <w:r>
        <w:rPr>
          <w:rFonts w:cs="Times New Roman" w:ascii="Times New Roman" w:hAnsi="Times New Roman"/>
          <w:b/>
          <w:sz w:val="24"/>
        </w:rPr>
        <w:t>4.  Liability as Principal.</w:t>
      </w:r>
      <w:r>
        <w:rPr>
          <w:rFonts w:cs="Times New Roman" w:ascii="Times New Roman" w:hAnsi="Times New Roman"/>
          <w:sz w:val="24"/>
        </w:rPr>
        <w:t xml:space="preserve"> Customer will use ChaseFX (including the execution or transmission of orders for FX Transactions) solely for its own benefit and account(s) and will not use ChaseFX on behalf of third parties without the written permission of Chase.  If Customer is acting on behalf of itself and/or any affiliates, or is acting as agent on behalf of one or more of its customers, then it makes the additional representations and warranties and is bound by the agreements set forth in any Agent’s Annex hereto. </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sz w:val="24"/>
        </w:rPr>
      </w:pPr>
      <w:r>
        <w:rPr>
          <w:rFonts w:cs="Times New Roman" w:ascii="Times New Roman" w:hAnsi="Times New Roman"/>
          <w:sz w:val="24"/>
        </w:rPr>
        <w:t>Dated: ______________________</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sz w:val="24"/>
        </w:rPr>
      </w:pPr>
      <w:r>
        <w:rPr>
          <w:rFonts w:cs="Times New Roman" w:ascii="Times New Roman" w:hAnsi="Times New Roman"/>
          <w:sz w:val="24"/>
        </w:rPr>
        <w:t>THE CHASE MANHATTAN BANK</w:t>
        <w:tab/>
        <w:tab/>
        <w:tab/>
        <w:t>ENRON NORTH AMERICA</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sz w:val="24"/>
        </w:rPr>
      </w:pPr>
      <w:r>
        <w:rPr>
          <w:rFonts w:cs="Times New Roman" w:ascii="Times New Roman" w:hAnsi="Times New Roman"/>
          <w:sz w:val="24"/>
        </w:rPr>
        <w:t>By: ____________________</w:t>
        <w:tab/>
        <w:tab/>
        <w:tab/>
        <w:tab/>
        <w:tab/>
        <w:t>By: ____________________</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sz w:val="24"/>
        </w:rPr>
      </w:pPr>
      <w:r>
        <w:rPr>
          <w:rFonts w:cs="Times New Roman" w:ascii="Times New Roman" w:hAnsi="Times New Roman"/>
          <w:sz w:val="24"/>
        </w:rPr>
        <w:t>Title: ___________________</w:t>
        <w:tab/>
        <w:tab/>
        <w:tab/>
        <w:tab/>
        <w:tab/>
        <w:t>Title: ___________________</w:t>
      </w:r>
    </w:p>
    <w:p>
      <w:pPr>
        <w:pStyle w:val="PlainText"/>
        <w:jc w:val="both"/>
        <w:rPr>
          <w:rFonts w:ascii="Times New Roman" w:hAnsi="Times New Roman" w:cs="Times New Roman"/>
          <w:sz w:val="24"/>
        </w:rPr>
      </w:pPr>
      <w:r>
        <w:rPr>
          <w:rFonts w:cs="Times New Roman" w:ascii="Times New Roman" w:hAnsi="Times New Roman"/>
          <w:sz w:val="24"/>
        </w:rPr>
      </w:r>
    </w:p>
    <w:sectPr>
      <w:footerReference w:type="default" r:id="rId2"/>
      <w:footerReference w:type="first" r:id="rId3"/>
      <w:type w:val="nextPage"/>
      <w:pgSz w:w="12240" w:h="15840"/>
      <w:pgMar w:left="1440" w:right="1440" w:gutter="0" w:header="0" w:top="72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t>276308:v01</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92075"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92075" cy="20955"/>
                      </a:xfrm>
                      <a:prstGeom prst="rect"/>
                      <a:solidFill>
                        <a:srgbClr val="FFFFFF">
                          <a:alpha val="0"/>
                        </a:srgbClr>
                      </a:solidFill>
                    </wps:spPr>
                    <wps:txbx>
                      <w:txbxContent>
                        <w:p>
                          <w:pPr>
                            <w:pStyle w:val="Footer"/>
                            <w:rPr>
                              <w:rStyle w:val="PageNumber"/>
                              <w:rFonts w:ascii="Arial" w:hAnsi="Arial" w:cs="Arial"/>
                              <w:sz w:val="22"/>
                            </w:rPr>
                          </w:pP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0</w:t>
                          </w:r>
                          <w:r>
                            <w:rPr>
                              <w:rStyle w:val="PageNumber"/>
                              <w:sz w:val="22"/>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7.2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Fonts w:ascii="Arial" w:hAnsi="Arial" w:cs="Arial"/>
                        <w:sz w:val="22"/>
                      </w:rPr>
                    </w:pP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0</w:t>
                    </w:r>
                    <w:r>
                      <w:rPr>
                        <w:rStyle w:val="PageNumber"/>
                        <w:sz w:val="22"/>
                        <w:rFonts w:cs="Arial" w:ascii="Arial" w:hAnsi="Arial"/>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t>276308:v01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u w:val="single"/>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jc w:val="both"/>
      <w:outlineLvl w:val="2"/>
    </w:pPr>
    <w:rPr>
      <w:b/>
      <w:sz w:val="24"/>
      <w:u w:val="single"/>
    </w:rPr>
  </w:style>
  <w:style w:type="paragraph" w:styleId="Heading5">
    <w:name w:val="heading 5"/>
    <w:basedOn w:val="Normal"/>
    <w:next w:val="Normal"/>
    <w:qFormat/>
    <w:pPr>
      <w:keepNext w:val="true"/>
      <w:numPr>
        <w:ilvl w:val="4"/>
        <w:numId w:val="1"/>
      </w:numPr>
      <w:jc w:val="both"/>
      <w:outlineLvl w:val="4"/>
    </w:pPr>
    <w:rPr>
      <w:rFonts w:ascii="Arial" w:hAnsi="Arial" w:cs="Arial"/>
      <w:b/>
    </w:rPr>
  </w:style>
  <w:style w:type="character" w:styleId="WW8Num2z0">
    <w:name w:val="WW8Num2z0"/>
    <w:qFormat/>
    <w:rPr>
      <w:b/>
    </w:rPr>
  </w:style>
  <w:style w:type="character" w:styleId="WW8Num3z0">
    <w:name w:val="WW8Num3z0"/>
    <w:qFormat/>
    <w:rPr>
      <w:b/>
    </w:rPr>
  </w:style>
  <w:style w:type="character" w:styleId="WW8Num4z0">
    <w:name w:val="WW8Num4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jc w:val="both"/>
    </w:pPr>
    <w:rPr>
      <w:rFonts w:ascii="Univers" w:hAnsi="Univers" w:cs="Univers"/>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PlainText">
    <w:name w:val="Plain Text"/>
    <w:basedOn w:val="Normal"/>
    <w:qFormat/>
    <w:pPr/>
    <w:rPr>
      <w:rFonts w:ascii="Courier New" w:hAnsi="Courier New" w:cs="Courier New"/>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2001-09-18T07:08:00Z</dcterms:created>
  <dc:creator>vollkommerj</dc:creator>
  <dc:description/>
  <dc:language>en-CA</dc:language>
  <cp:lastModifiedBy>Chase Manhattan Bank</cp:lastModifiedBy>
  <cp:lastPrinted>2001-09-18T10:38:00Z</cp:lastPrinted>
  <dcterms:modified xsi:type="dcterms:W3CDTF">2001-09-18T07:08:00Z</dcterms:modified>
  <cp:revision>3</cp:revision>
  <dc:subject/>
  <dc:title>ChaseFX - Electronic Trading Service Schedule to the Access Agreement</dc:title>
</cp:coreProperties>
</file>