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Lines/>
        <w:autoSpaceDE w:val="false"/>
        <w:spacing w:lineRule="atLeast" w:line="240"/>
        <w:jc w:val="center"/>
        <w:rPr>
          <w:rFonts w:ascii="Helv;Arial" w:hAnsi="Helv;Arial" w:cs="Helv;Arial"/>
          <w:b/>
          <w:bCs/>
          <w:color w:val="000000"/>
          <w:sz w:val="20"/>
          <w:szCs w:val="20"/>
          <w:u w:val="single"/>
        </w:rPr>
      </w:pPr>
      <w:r>
        <w:rPr>
          <w:rFonts w:cs="Helv;Arial" w:ascii="Helv;Arial" w:hAnsi="Helv;Arial"/>
          <w:b/>
          <w:bCs/>
          <w:color w:val="000000"/>
          <w:sz w:val="20"/>
          <w:szCs w:val="20"/>
          <w:u w:val="single"/>
        </w:rPr>
      </w:r>
    </w:p>
    <w:p>
      <w:pPr>
        <w:pStyle w:val="Normal"/>
        <w:keepLines/>
        <w:autoSpaceDE w:val="false"/>
        <w:spacing w:lineRule="atLeast" w:line="240"/>
        <w:jc w:val="center"/>
        <w:rPr>
          <w:rFonts w:ascii="Helv;Arial" w:hAnsi="Helv;Arial" w:cs="Helv;Arial"/>
          <w:b/>
          <w:bCs/>
          <w:color w:val="000000"/>
          <w:sz w:val="20"/>
          <w:szCs w:val="20"/>
          <w:u w:val="single"/>
        </w:rPr>
      </w:pPr>
      <w:r>
        <w:rPr>
          <w:rFonts w:cs="Helv;Arial" w:ascii="Helv;Arial" w:hAnsi="Helv;Arial"/>
          <w:b/>
          <w:bCs/>
          <w:color w:val="000000"/>
          <w:sz w:val="20"/>
          <w:szCs w:val="20"/>
          <w:u w:val="single"/>
        </w:rPr>
      </w:r>
    </w:p>
    <w:p>
      <w:pPr>
        <w:pStyle w:val="Normal"/>
        <w:keepLines/>
        <w:autoSpaceDE w:val="false"/>
        <w:spacing w:lineRule="atLeast" w:line="240"/>
        <w:jc w:val="center"/>
        <w:rPr>
          <w:rFonts w:ascii="Helv;Arial" w:hAnsi="Helv;Arial" w:cs="Helv;Arial"/>
          <w:b/>
          <w:bCs/>
          <w:color w:val="000000"/>
          <w:sz w:val="20"/>
          <w:szCs w:val="20"/>
          <w:u w:val="single"/>
        </w:rPr>
      </w:pPr>
      <w:r>
        <w:rPr>
          <w:rFonts w:cs="Helv;Arial" w:ascii="Helv;Arial" w:hAnsi="Helv;Arial"/>
          <w:b/>
          <w:bCs/>
          <w:color w:val="000000"/>
          <w:sz w:val="20"/>
          <w:szCs w:val="20"/>
          <w:u w:val="single"/>
        </w:rPr>
      </w:r>
    </w:p>
    <w:p>
      <w:pPr>
        <w:pStyle w:val="Normal"/>
        <w:keepLines/>
        <w:autoSpaceDE w:val="false"/>
        <w:spacing w:lineRule="atLeast" w:line="240"/>
        <w:jc w:val="center"/>
        <w:rPr>
          <w:rFonts w:ascii="Helv;Arial" w:hAnsi="Helv;Arial" w:cs="Helv;Arial"/>
          <w:b/>
          <w:bCs/>
          <w:color w:val="000000"/>
          <w:sz w:val="20"/>
          <w:szCs w:val="20"/>
          <w:u w:val="single"/>
        </w:rPr>
      </w:pPr>
      <w:r>
        <w:rPr>
          <w:rFonts w:cs="Helv;Arial" w:ascii="Helv;Arial" w:hAnsi="Helv;Arial"/>
          <w:b/>
          <w:bCs/>
          <w:color w:val="000000"/>
          <w:sz w:val="20"/>
          <w:szCs w:val="20"/>
          <w:u w:val="single"/>
        </w:rPr>
      </w:r>
    </w:p>
    <w:p>
      <w:pPr>
        <w:pStyle w:val="Normal"/>
        <w:keepLines/>
        <w:autoSpaceDE w:val="false"/>
        <w:spacing w:lineRule="atLeast" w:line="240"/>
        <w:jc w:val="center"/>
        <w:rPr>
          <w:rFonts w:ascii="Helv;Arial" w:hAnsi="Helv;Arial" w:cs="Helv;Arial"/>
          <w:b/>
          <w:bCs/>
          <w:color w:val="000000"/>
          <w:sz w:val="20"/>
          <w:szCs w:val="20"/>
          <w:u w:val="single"/>
        </w:rPr>
      </w:pPr>
      <w:r>
        <w:rPr>
          <w:rFonts w:cs="Helv;Arial" w:ascii="Helv;Arial" w:hAnsi="Helv;Arial"/>
          <w:b/>
          <w:bCs/>
          <w:color w:val="000000"/>
          <w:sz w:val="20"/>
          <w:szCs w:val="20"/>
          <w:u w:val="single"/>
        </w:rPr>
        <w:t>CHART FOR TRADING CONTRACT CONFIRMATIONS BETWEEN</w:t>
      </w:r>
    </w:p>
    <w:p>
      <w:pPr>
        <w:pStyle w:val="Normal"/>
        <w:keepLines/>
        <w:autoSpaceDE w:val="false"/>
        <w:spacing w:lineRule="atLeast" w:line="240"/>
        <w:jc w:val="center"/>
        <w:rPr>
          <w:rFonts w:ascii="Helv;Arial" w:hAnsi="Helv;Arial" w:cs="Helv;Arial"/>
          <w:b/>
          <w:bCs/>
          <w:color w:val="000000"/>
          <w:sz w:val="20"/>
          <w:szCs w:val="20"/>
          <w:u w:val="single"/>
        </w:rPr>
      </w:pPr>
      <w:r>
        <w:rPr>
          <w:rFonts w:cs="Helv;Arial" w:ascii="Helv;Arial" w:hAnsi="Helv;Arial"/>
          <w:b/>
          <w:bCs/>
          <w:color w:val="000000"/>
          <w:sz w:val="20"/>
          <w:szCs w:val="20"/>
          <w:u w:val="single"/>
        </w:rPr>
        <w:t>TWO U.S. COUNTERPARTIES, AS OF 10/1/00</w:t>
      </w:r>
    </w:p>
    <w:p>
      <w:pPr>
        <w:pStyle w:val="Normal"/>
        <w:keepLines/>
        <w:autoSpaceDE w:val="false"/>
        <w:spacing w:lineRule="atLeast" w:line="240"/>
        <w:jc w:val="center"/>
        <w:rPr>
          <w:rFonts w:ascii="Helv;Arial" w:hAnsi="Helv;Arial" w:cs="Helv;Arial"/>
          <w:b/>
          <w:bCs/>
          <w:color w:val="000000"/>
          <w:sz w:val="20"/>
          <w:szCs w:val="20"/>
          <w:u w:val="single"/>
        </w:rPr>
      </w:pPr>
      <w:r>
        <w:rPr>
          <w:rFonts w:cs="Helv;Arial" w:ascii="Helv;Arial" w:hAnsi="Helv;Arial"/>
          <w:b/>
          <w:bCs/>
          <w:color w:val="000000"/>
          <w:sz w:val="20"/>
          <w:szCs w:val="20"/>
          <w:u w:val="single"/>
        </w:rPr>
      </w:r>
    </w:p>
    <w:p>
      <w:pPr>
        <w:pStyle w:val="Normal"/>
        <w:keepLines/>
        <w:autoSpaceDE w:val="false"/>
        <w:spacing w:lineRule="atLeast" w:line="240"/>
        <w:jc w:val="center"/>
        <w:rPr>
          <w:rFonts w:ascii="Helv;Arial" w:hAnsi="Helv;Arial" w:cs="Helv;Arial"/>
          <w:b/>
          <w:bCs/>
          <w:color w:val="000000"/>
          <w:sz w:val="20"/>
          <w:szCs w:val="20"/>
          <w:u w:val="single"/>
        </w:rPr>
      </w:pPr>
      <w:r>
        <w:rPr>
          <w:rFonts w:cs="Helv;Arial" w:ascii="Helv;Arial" w:hAnsi="Helv;Arial"/>
          <w:b/>
          <w:bCs/>
          <w:color w:val="000000"/>
          <w:sz w:val="20"/>
          <w:szCs w:val="20"/>
          <w:u w:val="single"/>
        </w:rPr>
      </w:r>
    </w:p>
    <w:p>
      <w:pPr>
        <w:pStyle w:val="Normal"/>
        <w:keepLines/>
        <w:autoSpaceDE w:val="false"/>
        <w:spacing w:lineRule="atLeast" w:line="240"/>
        <w:ind w:hanging="1440" w:start="1440" w:end="0"/>
        <w:rPr/>
      </w:pPr>
      <w:r>
        <w:rPr>
          <w:rFonts w:cs="Helv;Arial" w:ascii="Helv;Arial" w:hAnsi="Helv;Arial"/>
          <w:color w:val="000000"/>
          <w:sz w:val="20"/>
          <w:szCs w:val="20"/>
          <w:u w:val="single"/>
        </w:rPr>
        <w:t>Type of Trade</w:t>
      </w:r>
      <w:r>
        <w:rPr>
          <w:rFonts w:cs="Helv;Arial" w:ascii="Helv;Arial" w:hAnsi="Helv;Arial"/>
          <w:color w:val="000000"/>
          <w:sz w:val="20"/>
          <w:szCs w:val="20"/>
        </w:rPr>
        <w:tab/>
        <w:tab/>
        <w:tab/>
      </w:r>
      <w:r>
        <w:rPr>
          <w:rFonts w:cs="Helv;Arial" w:ascii="Helv;Arial" w:hAnsi="Helv;Arial"/>
          <w:color w:val="000000"/>
          <w:sz w:val="20"/>
          <w:szCs w:val="20"/>
          <w:u w:val="single"/>
        </w:rPr>
        <w:t>Contract Formation Method</w:t>
      </w:r>
      <w:r>
        <w:rPr>
          <w:rFonts w:cs="Helv;Arial" w:ascii="Helv;Arial" w:hAnsi="Helv;Arial"/>
          <w:color w:val="000000"/>
          <w:sz w:val="20"/>
          <w:szCs w:val="20"/>
        </w:rPr>
        <w:tab/>
      </w:r>
      <w:r>
        <w:rPr>
          <w:rFonts w:cs="Helv;Arial" w:ascii="Helv;Arial" w:hAnsi="Helv;Arial"/>
          <w:color w:val="000000"/>
          <w:sz w:val="20"/>
          <w:szCs w:val="20"/>
          <w:u w:val="single"/>
        </w:rPr>
        <w:t>Trade Confirmation required to be sent?</w:t>
      </w:r>
      <w:r>
        <w:rPr>
          <w:rFonts w:cs="Helv;Arial" w:ascii="Helv;Arial" w:hAnsi="Helv;Arial"/>
          <w:color w:val="000000"/>
          <w:sz w:val="20"/>
          <w:szCs w:val="20"/>
        </w:rPr>
        <w:tab/>
        <w:tab/>
      </w:r>
      <w:r>
        <w:rPr>
          <w:rFonts w:cs="Helv;Arial" w:ascii="Helv;Arial" w:hAnsi="Helv;Arial"/>
          <w:color w:val="000000"/>
          <w:sz w:val="20"/>
          <w:szCs w:val="20"/>
          <w:u w:val="single"/>
        </w:rPr>
        <w:t>If yes, get signed by CP?</w:t>
      </w:r>
    </w:p>
    <w:p>
      <w:pPr>
        <w:pStyle w:val="Normal"/>
        <w:keepLines/>
        <w:autoSpaceDE w:val="false"/>
        <w:spacing w:lineRule="atLeast" w:line="240"/>
        <w:jc w:val="center"/>
        <w:rPr>
          <w:rFonts w:ascii="Helv;Arial" w:hAnsi="Helv;Arial" w:cs="Helv;Arial"/>
          <w:color w:val="000000"/>
          <w:sz w:val="20"/>
          <w:szCs w:val="20"/>
          <w:u w:val="single"/>
        </w:rPr>
      </w:pPr>
      <w:r>
        <w:rPr>
          <w:rFonts w:cs="Helv;Arial" w:ascii="Helv;Arial" w:hAnsi="Helv;Arial"/>
          <w:color w:val="000000"/>
          <w:sz w:val="20"/>
          <w:szCs w:val="20"/>
          <w:u w:val="single"/>
        </w:rPr>
      </w:r>
    </w:p>
    <w:p>
      <w:pPr>
        <w:pStyle w:val="Normal"/>
        <w:keepLines/>
        <w:autoSpaceDE w:val="false"/>
        <w:spacing w:lineRule="atLeast" w:line="240"/>
        <w:ind w:hanging="2880" w:start="2880" w:end="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Physical (w/ no Master)</w:t>
        <w:tab/>
        <w:t>Phone</w:t>
        <w:tab/>
        <w:tab/>
        <w:tab/>
        <w:tab/>
        <w:t>Yes, but can be electronic</w:t>
        <w:tab/>
        <w:tab/>
        <w:tab/>
        <w:t>No, unless commodity not "good"</w:t>
      </w:r>
    </w:p>
    <w:p>
      <w:pPr>
        <w:pStyle w:val="Normal"/>
        <w:keepLines/>
        <w:autoSpaceDE w:val="false"/>
        <w:spacing w:lineRule="atLeast" w:line="240"/>
        <w:ind w:hanging="2880" w:start="2880" w:end="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keepLines/>
        <w:autoSpaceDE w:val="false"/>
        <w:spacing w:lineRule="atLeast" w:line="240"/>
        <w:ind w:start="2880" w:end="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On-line</w:t>
        <w:tab/>
        <w:tab/>
        <w:tab/>
        <w:tab/>
        <w:t>No</w:t>
        <w:tab/>
        <w:tab/>
        <w:tab/>
        <w:tab/>
        <w:tab/>
        <w:tab/>
        <w:t>N/A</w:t>
      </w:r>
    </w:p>
    <w:p>
      <w:pPr>
        <w:pStyle w:val="Normal"/>
        <w:keepLines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keepLines/>
        <w:autoSpaceDE w:val="false"/>
        <w:spacing w:lineRule="atLeast" w:line="240"/>
        <w:ind w:hanging="2880" w:start="2880" w:end="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Physical (w/ Master)</w:t>
        <w:tab/>
        <w:t>Phone</w:t>
        <w:tab/>
        <w:tab/>
        <w:tab/>
        <w:tab/>
        <w:t>Yes, but can be electronic</w:t>
        <w:tab/>
        <w:tab/>
        <w:tab/>
        <w:t>No</w:t>
      </w:r>
    </w:p>
    <w:p>
      <w:pPr>
        <w:pStyle w:val="Normal"/>
        <w:keepLines/>
        <w:autoSpaceDE w:val="false"/>
        <w:spacing w:lineRule="atLeast" w:line="240"/>
        <w:ind w:hanging="2880" w:start="2880" w:end="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keepLines/>
        <w:autoSpaceDE w:val="false"/>
        <w:spacing w:lineRule="atLeast" w:line="240"/>
        <w:ind w:firstLine="720" w:start="2160" w:end="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On-line</w:t>
        <w:tab/>
        <w:tab/>
        <w:tab/>
        <w:tab/>
        <w:t>No, unless Master requires</w:t>
        <w:tab/>
        <w:tab/>
        <w:tab/>
        <w:t>No</w:t>
      </w:r>
    </w:p>
    <w:p>
      <w:pPr>
        <w:pStyle w:val="Normal"/>
        <w:keepLines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Financial (w/ no Master)</w:t>
        <w:tab/>
        <w:tab/>
        <w:t>Phone</w:t>
        <w:tab/>
        <w:tab/>
        <w:tab/>
        <w:tab/>
        <w:t>Yes, but can be electronic</w:t>
        <w:tab/>
        <w:tab/>
        <w:tab/>
        <w:t>Yes, unless NY law governs</w:t>
      </w:r>
    </w:p>
    <w:p>
      <w:pPr>
        <w:pStyle w:val="Normal"/>
        <w:keepLines/>
        <w:autoSpaceDE w:val="false"/>
        <w:spacing w:lineRule="atLeast" w:line="240"/>
        <w:ind w:firstLine="720" w:start="5040" w:end="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keepLines/>
        <w:autoSpaceDE w:val="false"/>
        <w:spacing w:lineRule="atLeast" w:line="240"/>
        <w:ind w:firstLine="720" w:start="2160" w:end="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On-line</w:t>
        <w:tab/>
        <w:tab/>
        <w:tab/>
        <w:tab/>
        <w:t>No</w:t>
        <w:tab/>
        <w:tab/>
        <w:tab/>
        <w:tab/>
        <w:tab/>
        <w:tab/>
        <w:t>N/A</w:t>
      </w:r>
    </w:p>
    <w:p>
      <w:pPr>
        <w:pStyle w:val="Normal"/>
        <w:keepLines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Financial (w/ Master)</w:t>
        <w:tab/>
        <w:tab/>
        <w:t>Phone</w:t>
        <w:tab/>
        <w:tab/>
        <w:tab/>
        <w:tab/>
        <w:t>Yes, but can be electronic</w:t>
        <w:tab/>
        <w:tab/>
        <w:tab/>
        <w:t>Yes, unless NY law governs</w:t>
      </w:r>
    </w:p>
    <w:p>
      <w:pPr>
        <w:pStyle w:val="Normal"/>
        <w:keepLines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keepLines/>
        <w:autoSpaceDE w:val="false"/>
        <w:spacing w:lineRule="atLeast" w:line="240"/>
        <w:ind w:firstLine="720" w:start="2160" w:end="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On-line</w:t>
        <w:tab/>
        <w:tab/>
        <w:tab/>
        <w:tab/>
        <w:t>No, unless Master requires</w:t>
        <w:tab/>
        <w:tab/>
        <w:tab/>
        <w:t>No</w:t>
      </w:r>
    </w:p>
    <w:p>
      <w:pPr>
        <w:pStyle w:val="Normal"/>
        <w:keepLines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jc w:val="both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In summary, as a result of the new U.S. federal legislation on e-signatures and contracts, on-line trades between two U.S. counterparties would not legally require the sending of a paper or electronic trade confirmation after the electronic contract is formed on-line unless expressly required by the applicable master trading agreement.  An electronic confirmation, of course, could be sent if the counterparty elects to receive one.  We agreed to obtain a legal opinion from outside counsel to confirm this conclusion.</w:t>
      </w:r>
    </w:p>
    <w:p>
      <w:pPr>
        <w:pStyle w:val="Normal"/>
        <w:keepLines/>
        <w:autoSpaceDE w:val="false"/>
        <w:spacing w:lineRule="atLeast" w:line="240"/>
        <w:jc w:val="both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>
          <w:sz w:val="10"/>
        </w:rPr>
      </w:pPr>
      <w:r>
        <w:rPr>
          <w:sz w:val="10"/>
        </w:rPr>
        <w:fldChar w:fldCharType="begin"/>
      </w:r>
      <w:r>
        <w:rPr>
          <w:sz w:val="10"/>
        </w:rPr>
        <w:instrText xml:space="preserve"> FILENAME \p </w:instrText>
      </w:r>
      <w:r>
        <w:rPr>
          <w:sz w:val="10"/>
        </w:rPr>
        <w:fldChar w:fldCharType="separate"/>
      </w:r>
      <w:r>
        <w:rPr>
          <w:sz w:val="10"/>
        </w:rPr>
        <w:t>/mnt/main-storage/datasets/enron-docs/doc/Chart_for_US_Trading_Contract_Confirmations-9be92d8e2d76cf57bc0ca3f80f282b7db49402ebc9feb1217d4f4a2629c235d9.doc</w:t>
      </w:r>
      <w:r>
        <w:rPr>
          <w:sz w:val="10"/>
        </w:rPr>
        <w:fldChar w:fldCharType="end"/>
      </w:r>
    </w:p>
    <w:sectPr>
      <w:headerReference w:type="default" r:id="rId2"/>
      <w:type w:val="nextPage"/>
      <w:pgSz w:orient="landscape" w:w="15840" w:h="12240"/>
      <w:pgMar w:left="1008" w:right="1008" w:gutter="0" w:header="432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DRAFT OF 7/20/00</w:t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2000-07-12T18:14:00Z</dcterms:created>
  <dc:creator>jdavis5</dc:creator>
  <dc:description/>
  <dc:language>en-CA</dc:language>
  <cp:lastModifiedBy>aaronow</cp:lastModifiedBy>
  <cp:lastPrinted>2000-07-12T15:54:00Z</cp:lastPrinted>
  <dcterms:modified xsi:type="dcterms:W3CDTF">2000-07-20T20:03:00Z</dcterms:modified>
  <cp:revision>5</cp:revision>
  <dc:subject/>
  <dc:title>Based on our discussion, let me know if you concur with the draft chart below:</dc:title>
</cp:coreProperties>
</file>