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038" w:type="dxa"/>
        <w:jc w:val="center"/>
        <w:tblInd w:w="0" w:type="dxa"/>
        <w:tblLayout w:type="fixed"/>
        <w:tblCellMar>
          <w:top w:w="0" w:type="dxa"/>
          <w:start w:w="120" w:type="dxa"/>
          <w:bottom w:w="0" w:type="dxa"/>
          <w:end w:w="120" w:type="dxa"/>
        </w:tblCellMar>
      </w:tblPr>
      <w:tblGrid>
        <w:gridCol w:w="2790"/>
        <w:gridCol w:w="2563"/>
        <w:gridCol w:w="2565"/>
        <w:gridCol w:w="2971"/>
        <w:gridCol w:w="3149"/>
      </w:tblGrid>
      <w:tr>
        <w:trPr/>
        <w:tc>
          <w:tcPr>
            <w:tcW w:w="2790" w:type="dxa"/>
            <w:tcBorders>
              <w:top w:val="single" w:sz="4" w:space="0" w:color="000000"/>
              <w:start w:val="single" w:sz="4" w:space="0" w:color="000000"/>
              <w:bottom w:val="single" w:sz="4" w:space="0" w:color="000000"/>
              <w:end w:val="single" w:sz="4" w:space="0" w:color="000000"/>
            </w:tcBorders>
          </w:tcPr>
          <w:p>
            <w:pPr>
              <w:pStyle w:val="Normal"/>
              <w:pageBreakBefore/>
              <w:widowControl w:val="false"/>
              <w:spacing w:before="60" w:after="60"/>
              <w:rPr>
                <w:sz w:val="18"/>
              </w:rPr>
            </w:pPr>
            <w:r>
              <w:rPr>
                <w:b/>
                <w:sz w:val="18"/>
              </w:rPr>
              <w:t>I.  Organizational Structure of the RTO</w:t>
            </w:r>
          </w:p>
        </w:tc>
        <w:tc>
          <w:tcPr>
            <w:tcW w:w="2563"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60"/>
              <w:rPr>
                <w:sz w:val="18"/>
              </w:rPr>
            </w:pPr>
            <w:r>
              <w:rPr>
                <w:sz w:val="18"/>
              </w:rPr>
              <w:t>Limited Liability Company structure</w:t>
            </w:r>
            <w:r>
              <w:rPr>
                <w:rStyle w:val="FootnoteCharacters"/>
                <w:rStyle w:val="FootnoteReference"/>
                <w:sz w:val="18"/>
              </w:rPr>
              <w:footnoteReference w:id="2"/>
            </w:r>
          </w:p>
        </w:tc>
        <w:tc>
          <w:tcPr>
            <w:tcW w:w="2565"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60"/>
              <w:rPr>
                <w:sz w:val="18"/>
              </w:rPr>
            </w:pPr>
            <w:r>
              <w:rPr>
                <w:sz w:val="18"/>
              </w:rPr>
              <w:t xml:space="preserve">Transco will be formed as a “C” corporation.  An SPV will own 85% of the active (i.e., voting) interest in the Transco.  Enron and the Alliance Companies will own the remaining 15% active interest in the Transco.  Enron and Alliance will also have passive interests in the Transco.  Both the SPV and Transco will be registered holding companies.  </w:t>
            </w:r>
          </w:p>
          <w:p>
            <w:pPr>
              <w:pStyle w:val="Normal"/>
              <w:widowControl w:val="false"/>
              <w:spacing w:before="60" w:after="60"/>
              <w:rPr>
                <w:sz w:val="18"/>
              </w:rPr>
            </w:pPr>
            <w:r>
              <w:rPr>
                <w:sz w:val="18"/>
              </w:rPr>
              <w:t xml:space="preserve">The Transco will have two subsidiary holding companies, one which will directly own natural gas pipeline companies (PipesCo), the other will directly own the electric transmission companies (WiresCo).  </w:t>
            </w:r>
          </w:p>
        </w:tc>
        <w:tc>
          <w:tcPr>
            <w:tcW w:w="2971"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60"/>
              <w:rPr>
                <w:sz w:val="18"/>
                <w:u w:val="single"/>
              </w:rPr>
            </w:pPr>
            <w:r>
              <w:rPr>
                <w:sz w:val="18"/>
                <w:u w:val="single"/>
              </w:rPr>
              <w:t>Alliance Order</w:t>
            </w:r>
            <w:r>
              <w:rPr>
                <w:sz w:val="18"/>
              </w:rPr>
              <w:t>: No objection to use of an LLC structure.</w:t>
            </w:r>
          </w:p>
          <w:p>
            <w:pPr>
              <w:pStyle w:val="Normal"/>
              <w:widowControl w:val="false"/>
              <w:spacing w:before="60" w:after="60"/>
              <w:rPr>
                <w:sz w:val="18"/>
              </w:rPr>
            </w:pPr>
            <w:r>
              <w:rPr>
                <w:sz w:val="18"/>
                <w:u w:val="single"/>
              </w:rPr>
              <w:t>Order No. 2000</w:t>
            </w:r>
            <w:r>
              <w:rPr>
                <w:sz w:val="18"/>
              </w:rPr>
              <w:t>: FERC will not limit flexibility with respect to the organizational form of RTO.</w:t>
            </w:r>
            <w:r>
              <w:rPr>
                <w:rStyle w:val="FootnoteCharacters"/>
                <w:rStyle w:val="FootnoteReference"/>
                <w:sz w:val="18"/>
              </w:rPr>
              <w:footnoteReference w:id="3"/>
            </w:r>
            <w:r>
              <w:rPr>
                <w:sz w:val="18"/>
              </w:rPr>
              <w:t xml:space="preserve">  Multi-tier structure permitted.</w:t>
            </w:r>
            <w:r>
              <w:rPr>
                <w:rStyle w:val="FootnoteCharacters"/>
                <w:rStyle w:val="FootnoteReference"/>
                <w:sz w:val="18"/>
              </w:rPr>
              <w:footnoteReference w:id="4"/>
            </w:r>
          </w:p>
        </w:tc>
        <w:tc>
          <w:tcPr>
            <w:tcW w:w="3149"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60"/>
              <w:rPr>
                <w:sz w:val="18"/>
              </w:rPr>
            </w:pPr>
            <w:r>
              <w:rPr>
                <w:sz w:val="18"/>
              </w:rPr>
              <w:t xml:space="preserve">FERC does not have a preference as to whether a Transco is set up as an LLC, LP, or C corporation. </w:t>
            </w:r>
          </w:p>
          <w:p>
            <w:pPr>
              <w:pStyle w:val="Normal"/>
              <w:widowControl w:val="false"/>
              <w:spacing w:before="60" w:after="60"/>
              <w:rPr>
                <w:sz w:val="18"/>
              </w:rPr>
            </w:pPr>
            <w:r>
              <w:rPr>
                <w:sz w:val="18"/>
              </w:rPr>
              <w:t>FERC permits divesting owners to have a passive ownership interest in RTO.</w:t>
            </w:r>
          </w:p>
          <w:p>
            <w:pPr>
              <w:pStyle w:val="Normal"/>
              <w:widowControl w:val="false"/>
              <w:spacing w:before="60" w:after="60"/>
              <w:rPr>
                <w:sz w:val="18"/>
              </w:rPr>
            </w:pPr>
            <w:r>
              <w:rPr>
                <w:sz w:val="18"/>
              </w:rPr>
              <w:t>The multi-tier structure should be acceptable to FERC.</w:t>
            </w:r>
          </w:p>
        </w:tc>
      </w:tr>
    </w:tbl>
    <w:p>
      <w:pPr>
        <w:pStyle w:val="Normal"/>
        <w:rPr/>
      </w:pPr>
      <w:r>
        <w:rPr/>
      </w:r>
      <w:r>
        <w:br w:type="page"/>
      </w:r>
    </w:p>
    <w:tbl>
      <w:tblPr>
        <w:tblW w:w="14038" w:type="dxa"/>
        <w:jc w:val="center"/>
        <w:tblInd w:w="0" w:type="dxa"/>
        <w:tblLayout w:type="fixed"/>
        <w:tblCellMar>
          <w:top w:w="0" w:type="dxa"/>
          <w:start w:w="120" w:type="dxa"/>
          <w:bottom w:w="0" w:type="dxa"/>
          <w:end w:w="120" w:type="dxa"/>
        </w:tblCellMar>
      </w:tblPr>
      <w:tblGrid>
        <w:gridCol w:w="2790"/>
        <w:gridCol w:w="2563"/>
        <w:gridCol w:w="2565"/>
        <w:gridCol w:w="2971"/>
        <w:gridCol w:w="3149"/>
      </w:tblGrid>
      <w:tr>
        <w:trPr/>
        <w:tc>
          <w:tcPr>
            <w:tcW w:w="2790" w:type="dxa"/>
            <w:tcBorders>
              <w:top w:val="single" w:sz="4" w:space="0" w:color="000000"/>
              <w:start w:val="single" w:sz="4" w:space="0" w:color="000000"/>
              <w:bottom w:val="single" w:sz="4" w:space="0" w:color="000000"/>
              <w:end w:val="single" w:sz="4" w:space="0" w:color="000000"/>
            </w:tcBorders>
          </w:tcPr>
          <w:p>
            <w:pPr>
              <w:pStyle w:val="Normal"/>
              <w:pageBreakBefore/>
              <w:widowControl w:val="false"/>
              <w:spacing w:before="60" w:after="60"/>
              <w:rPr>
                <w:sz w:val="18"/>
              </w:rPr>
            </w:pPr>
            <w:r>
              <w:rPr>
                <w:b/>
                <w:sz w:val="18"/>
              </w:rPr>
              <w:t>II.  Governance (structuring and maximizing RTO shareholder approval/veto rights)</w:t>
            </w:r>
          </w:p>
        </w:tc>
        <w:tc>
          <w:tcPr>
            <w:tcW w:w="2563" w:type="dxa"/>
            <w:tcBorders>
              <w:top w:val="single" w:sz="4" w:space="0" w:color="000000"/>
              <w:start w:val="single" w:sz="4" w:space="0" w:color="000000"/>
              <w:bottom w:val="single" w:sz="4" w:space="0" w:color="000000"/>
              <w:end w:val="single" w:sz="4" w:space="0" w:color="000000"/>
            </w:tcBorders>
          </w:tcPr>
          <w:p>
            <w:pPr>
              <w:pStyle w:val="Normal"/>
              <w:widowControl w:val="false"/>
              <w:spacing w:before="520" w:after="60"/>
              <w:rPr/>
            </w:pPr>
            <w:r>
              <w:rPr>
                <w:b/>
                <w:sz w:val="18"/>
              </w:rPr>
              <w:t>A.</w:t>
            </w:r>
            <w:r>
              <w:rPr>
                <w:sz w:val="18"/>
              </w:rPr>
              <w:t xml:space="preserve">  </w:t>
            </w:r>
            <w:r>
              <w:rPr>
                <w:b/>
                <w:sz w:val="18"/>
              </w:rPr>
              <w:t>Active Ownership Rights</w:t>
            </w:r>
          </w:p>
          <w:p>
            <w:pPr>
              <w:pStyle w:val="Normal"/>
              <w:widowControl w:val="false"/>
              <w:spacing w:before="60" w:after="60"/>
              <w:rPr>
                <w:sz w:val="18"/>
              </w:rPr>
            </w:pPr>
            <w:r>
              <w:rPr>
                <w:sz w:val="18"/>
              </w:rPr>
              <w:t>Each Alliance Member may own up to 5% of Alliance Publico’s voting securities.</w:t>
            </w:r>
          </w:p>
        </w:tc>
        <w:tc>
          <w:tcPr>
            <w:tcW w:w="2565" w:type="dxa"/>
            <w:tcBorders>
              <w:top w:val="single" w:sz="4" w:space="0" w:color="000000"/>
              <w:start w:val="single" w:sz="4" w:space="0" w:color="000000"/>
              <w:bottom w:val="single" w:sz="4" w:space="0" w:color="000000"/>
              <w:end w:val="single" w:sz="4" w:space="0" w:color="000000"/>
            </w:tcBorders>
          </w:tcPr>
          <w:p>
            <w:pPr>
              <w:pStyle w:val="Normal"/>
              <w:widowControl w:val="false"/>
              <w:spacing w:before="520" w:after="60"/>
              <w:rPr/>
            </w:pPr>
            <w:r>
              <w:rPr>
                <w:b/>
                <w:sz w:val="18"/>
              </w:rPr>
              <w:t>A.</w:t>
            </w:r>
            <w:r>
              <w:rPr>
                <w:sz w:val="18"/>
              </w:rPr>
              <w:t xml:space="preserve">  </w:t>
            </w:r>
            <w:r>
              <w:rPr>
                <w:b/>
                <w:sz w:val="18"/>
              </w:rPr>
              <w:t>Active Ownership Rights</w:t>
            </w:r>
          </w:p>
          <w:p>
            <w:pPr>
              <w:pStyle w:val="Normal"/>
              <w:widowControl w:val="false"/>
              <w:spacing w:before="60" w:after="60"/>
              <w:rPr>
                <w:sz w:val="18"/>
              </w:rPr>
            </w:pPr>
            <w:r>
              <w:rPr>
                <w:sz w:val="18"/>
              </w:rPr>
              <w:t>15% active ownership in Transco divided among Enron and the Alliance Companies.</w:t>
            </w:r>
          </w:p>
        </w:tc>
        <w:tc>
          <w:tcPr>
            <w:tcW w:w="2971" w:type="dxa"/>
            <w:tcBorders>
              <w:top w:val="single" w:sz="4" w:space="0" w:color="000000"/>
              <w:start w:val="single" w:sz="4" w:space="0" w:color="000000"/>
              <w:bottom w:val="single" w:sz="4" w:space="0" w:color="000000"/>
              <w:end w:val="single" w:sz="4" w:space="0" w:color="000000"/>
            </w:tcBorders>
          </w:tcPr>
          <w:p>
            <w:pPr>
              <w:pStyle w:val="Normal"/>
              <w:widowControl w:val="false"/>
              <w:spacing w:before="520" w:after="60"/>
              <w:rPr/>
            </w:pPr>
            <w:r>
              <w:rPr>
                <w:sz w:val="18"/>
                <w:u w:val="single"/>
              </w:rPr>
              <w:t>Alliance Order</w:t>
            </w:r>
            <w:r>
              <w:rPr>
                <w:sz w:val="18"/>
              </w:rPr>
              <w:t xml:space="preserve">: FERC does not accept Applicants’ proposal to allow each member to own 5% of the stock of Publico; </w:t>
            </w:r>
          </w:p>
          <w:p>
            <w:pPr>
              <w:pStyle w:val="Normal"/>
              <w:widowControl w:val="false"/>
              <w:spacing w:before="60" w:after="60"/>
              <w:rPr>
                <w:sz w:val="18"/>
              </w:rPr>
            </w:pPr>
            <w:r>
              <w:rPr>
                <w:sz w:val="18"/>
              </w:rPr>
              <w:t>Applicants may either:</w:t>
            </w:r>
          </w:p>
          <w:p>
            <w:pPr>
              <w:pStyle w:val="Normal"/>
              <w:widowControl w:val="false"/>
              <w:spacing w:before="60" w:after="60"/>
              <w:rPr/>
            </w:pPr>
            <w:r>
              <w:rPr>
                <w:sz w:val="18"/>
              </w:rPr>
              <w:t>(a) justify proposal by submitting additional support (bylaws, quorum requirements, etc.);</w:t>
            </w:r>
            <w:r>
              <w:rPr>
                <w:rStyle w:val="FootnoteCharacters"/>
                <w:rStyle w:val="FootnoteReference"/>
                <w:sz w:val="18"/>
              </w:rPr>
              <w:footnoteReference w:id="5"/>
            </w:r>
            <w:r>
              <w:rPr>
                <w:sz w:val="18"/>
              </w:rPr>
              <w:t xml:space="preserve"> or</w:t>
            </w:r>
          </w:p>
          <w:p>
            <w:pPr>
              <w:pStyle w:val="Normal"/>
              <w:widowControl w:val="false"/>
              <w:spacing w:before="60" w:after="60"/>
              <w:rPr>
                <w:sz w:val="18"/>
              </w:rPr>
            </w:pPr>
            <w:r>
              <w:rPr>
                <w:sz w:val="18"/>
              </w:rPr>
              <w:t>(b) revise proposal to restrict divesting transmission owners’ ability to exercise voting control over operating decisions by Publico and decisions by the Publico Board.</w:t>
            </w:r>
            <w:r>
              <w:rPr>
                <w:rStyle w:val="FootnoteCharacters"/>
                <w:rStyle w:val="FootnoteReference"/>
                <w:sz w:val="18"/>
              </w:rPr>
              <w:footnoteReference w:id="6"/>
            </w:r>
          </w:p>
          <w:p>
            <w:pPr>
              <w:pStyle w:val="Normal"/>
              <w:widowControl w:val="false"/>
              <w:spacing w:before="60" w:after="60"/>
              <w:rPr>
                <w:sz w:val="18"/>
              </w:rPr>
            </w:pPr>
            <w:r>
              <w:rPr>
                <w:sz w:val="18"/>
                <w:u w:val="single"/>
              </w:rPr>
              <w:t>Order No. 2000:</w:t>
            </w:r>
            <w:r>
              <w:rPr>
                <w:sz w:val="18"/>
              </w:rPr>
              <w:t xml:space="preserve">  establishes safe harbors allowing market participants to own 5% of RTO’s voting securities subject to limit that all market participants with “similar” economic interests may own no more than 15%.  Active ownership by market participants is to end within 5 years of RTO approval.</w:t>
            </w:r>
            <w:r>
              <w:rPr>
                <w:rStyle w:val="FootnoteCharacters"/>
                <w:rStyle w:val="FootnoteReference"/>
                <w:sz w:val="18"/>
              </w:rPr>
              <w:footnoteReference w:id="7"/>
            </w:r>
          </w:p>
        </w:tc>
        <w:tc>
          <w:tcPr>
            <w:tcW w:w="3149" w:type="dxa"/>
            <w:tcBorders>
              <w:top w:val="single" w:sz="4" w:space="0" w:color="000000"/>
              <w:start w:val="single" w:sz="4" w:space="0" w:color="000000"/>
              <w:bottom w:val="single" w:sz="4" w:space="0" w:color="000000"/>
              <w:end w:val="single" w:sz="4" w:space="0" w:color="000000"/>
            </w:tcBorders>
          </w:tcPr>
          <w:p>
            <w:pPr>
              <w:pStyle w:val="Normal"/>
              <w:widowControl w:val="false"/>
              <w:spacing w:before="520" w:after="60"/>
              <w:rPr/>
            </w:pPr>
            <w:r>
              <w:rPr>
                <w:sz w:val="18"/>
              </w:rPr>
              <w:t xml:space="preserve">FERC will </w:t>
            </w:r>
            <w:r>
              <w:rPr>
                <w:sz w:val="18"/>
                <w:u w:val="single"/>
              </w:rPr>
              <w:t>likely limit</w:t>
            </w:r>
            <w:r>
              <w:rPr>
                <w:sz w:val="18"/>
              </w:rPr>
              <w:t xml:space="preserve"> active ownership to the safe harbors – 5% for a market participant and no more than 15% for market participants with “similar” economic interest.</w:t>
            </w:r>
          </w:p>
          <w:p>
            <w:pPr>
              <w:pStyle w:val="Normal"/>
              <w:widowControl w:val="false"/>
              <w:spacing w:before="60" w:after="60"/>
              <w:rPr>
                <w:sz w:val="18"/>
              </w:rPr>
            </w:pPr>
            <w:r>
              <w:rPr>
                <w:sz w:val="18"/>
              </w:rPr>
              <w:t>It is likely FERC will treat Enron and divesting transmission owners as having “similar” economic interests because each will participate, directly or indirectly, in the bulk power market.</w:t>
            </w:r>
          </w:p>
          <w:p>
            <w:pPr>
              <w:pStyle w:val="Normal"/>
              <w:widowControl w:val="false"/>
              <w:spacing w:before="60" w:after="60"/>
              <w:rPr/>
            </w:pPr>
            <w:r>
              <w:rPr>
                <w:sz w:val="18"/>
              </w:rPr>
              <w:t xml:space="preserve">FERC likely will require a </w:t>
            </w:r>
            <w:r>
              <w:rPr>
                <w:sz w:val="18"/>
                <w:u w:val="single"/>
              </w:rPr>
              <w:t>pro rata</w:t>
            </w:r>
            <w:r>
              <w:rPr>
                <w:sz w:val="18"/>
              </w:rPr>
              <w:t xml:space="preserve"> reduction in active ownership interests when a new market participant with “similar” economic interests obtains an active ownership interest.  Therefore, the addition of a new member that wants an active ownership interest is likely to have a dilutive effect on existing rights.</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60"/>
              <w:rPr/>
            </w:pPr>
            <w:r>
              <w:rPr>
                <w:b/>
                <w:sz w:val="18"/>
              </w:rPr>
              <w:t>II.  Governance</w:t>
            </w:r>
            <w:r>
              <w:rPr>
                <w:sz w:val="18"/>
              </w:rPr>
              <w:br/>
              <w:t>(continued)</w:t>
            </w:r>
          </w:p>
        </w:tc>
        <w:tc>
          <w:tcPr>
            <w:tcW w:w="2563" w:type="dxa"/>
            <w:tcBorders>
              <w:top w:val="single" w:sz="4" w:space="0" w:color="000000"/>
              <w:start w:val="single" w:sz="4" w:space="0" w:color="000000"/>
              <w:end w:val="single" w:sz="4" w:space="0" w:color="000000"/>
            </w:tcBorders>
          </w:tcPr>
          <w:p>
            <w:pPr>
              <w:pStyle w:val="Normal"/>
              <w:widowControl w:val="false"/>
              <w:spacing w:before="60" w:after="60"/>
              <w:rPr>
                <w:sz w:val="18"/>
              </w:rPr>
            </w:pPr>
            <w:r>
              <w:rPr>
                <w:b/>
                <w:sz w:val="18"/>
              </w:rPr>
              <w:t>B.  Passive Ownership Rights</w:t>
            </w:r>
          </w:p>
          <w:p>
            <w:pPr>
              <w:pStyle w:val="Normal"/>
              <w:widowControl w:val="false"/>
              <w:spacing w:before="60" w:after="60"/>
              <w:rPr>
                <w:sz w:val="18"/>
              </w:rPr>
            </w:pPr>
            <w:r>
              <w:rPr>
                <w:sz w:val="18"/>
              </w:rPr>
              <w:t>As passive owners, Members retain right to vote on the following issues:</w:t>
            </w:r>
          </w:p>
        </w:tc>
        <w:tc>
          <w:tcPr>
            <w:tcW w:w="2565" w:type="dxa"/>
            <w:tcBorders>
              <w:top w:val="single" w:sz="4" w:space="0" w:color="000000"/>
              <w:start w:val="single" w:sz="4" w:space="0" w:color="000000"/>
              <w:end w:val="single" w:sz="4" w:space="0" w:color="000000"/>
            </w:tcBorders>
          </w:tcPr>
          <w:p>
            <w:pPr>
              <w:pStyle w:val="Normal"/>
              <w:widowControl w:val="false"/>
              <w:spacing w:before="60" w:after="60"/>
              <w:rPr>
                <w:sz w:val="18"/>
              </w:rPr>
            </w:pPr>
            <w:r>
              <w:rPr>
                <w:b/>
                <w:sz w:val="18"/>
              </w:rPr>
              <w:t>B.  Passive Ownership Rights in general</w:t>
            </w:r>
          </w:p>
          <w:p>
            <w:pPr>
              <w:pStyle w:val="Normal"/>
              <w:widowControl w:val="false"/>
              <w:spacing w:before="60" w:after="60"/>
              <w:rPr>
                <w:sz w:val="18"/>
              </w:rPr>
            </w:pPr>
            <w:r>
              <w:rPr>
                <w:sz w:val="18"/>
              </w:rPr>
              <w:t>Passive owners retain right to vote on the following issues:</w:t>
            </w:r>
          </w:p>
        </w:tc>
        <w:tc>
          <w:tcPr>
            <w:tcW w:w="2971" w:type="dxa"/>
            <w:tcBorders>
              <w:top w:val="single" w:sz="4" w:space="0" w:color="000000"/>
              <w:start w:val="single" w:sz="4" w:space="0" w:color="000000"/>
              <w:end w:val="single" w:sz="4" w:space="0" w:color="000000"/>
            </w:tcBorders>
          </w:tcPr>
          <w:p>
            <w:pPr>
              <w:pStyle w:val="Normal"/>
              <w:widowControl w:val="false"/>
              <w:spacing w:before="60" w:after="60"/>
              <w:rPr>
                <w:sz w:val="18"/>
              </w:rPr>
            </w:pPr>
            <w:r>
              <w:rPr>
                <w:sz w:val="18"/>
              </w:rPr>
              <w:t>Neither the Alliance Order nor Order 2000 preclude a passive owner from having any particular right.  But Order No. 2000 requires the RTO to be independent of passive owners and provides a list of 8 factors FERC will look at to determine whether the RTO meets this requirement.</w:t>
            </w:r>
            <w:r>
              <w:rPr>
                <w:rStyle w:val="FootnoteCharacters"/>
                <w:rStyle w:val="FootnoteReference"/>
                <w:sz w:val="18"/>
              </w:rPr>
              <w:footnoteReference w:id="8"/>
            </w:r>
          </w:p>
        </w:tc>
        <w:tc>
          <w:tcPr>
            <w:tcW w:w="3149" w:type="dxa"/>
            <w:tcBorders>
              <w:top w:val="single" w:sz="4" w:space="0" w:color="000000"/>
              <w:start w:val="single" w:sz="4" w:space="0" w:color="000000"/>
              <w:end w:val="single" w:sz="4" w:space="0" w:color="000000"/>
            </w:tcBorders>
          </w:tcPr>
          <w:p>
            <w:pPr>
              <w:pStyle w:val="Normal"/>
              <w:widowControl w:val="false"/>
              <w:spacing w:before="60" w:after="60"/>
              <w:rPr>
                <w:sz w:val="18"/>
              </w:rPr>
            </w:pPr>
            <w:r>
              <w:rPr>
                <w:sz w:val="18"/>
              </w:rPr>
              <w:t xml:space="preserve">There is tension between FERC’s position that the RTO must be independent of passive owners and FERC’s position that utilities have flexibility as to corporate form, including passive owners.  The FERC should resolve this tension in favor of flexibility to induce voluntary participation in RTOs.  </w:t>
            </w:r>
          </w:p>
          <w:p>
            <w:pPr>
              <w:pStyle w:val="Normal"/>
              <w:widowControl w:val="false"/>
              <w:spacing w:before="0" w:after="60"/>
              <w:rPr>
                <w:sz w:val="18"/>
              </w:rPr>
            </w:pPr>
            <w:r>
              <w:rPr>
                <w:sz w:val="18"/>
              </w:rPr>
              <w:t>None of the passive owners rights proposed by the Alliance or Enron are expressly precluded by either the Alliance Order or Order No. 2000.  Everything will depend on the arguments made in support of each right.  The SEC has examined the rights of passive owners and concluded that some rights are not inconsistent with the holder being a passive owner.  Enron’s proposed passive owner rights were developed from the SEC precedent.  This will be some persuasive authority to FERC that passive owner rights are not inconsistent with RTO independence.</w:t>
            </w:r>
          </w:p>
          <w:p>
            <w:pPr>
              <w:pStyle w:val="Normal"/>
              <w:widowControl w:val="false"/>
              <w:spacing w:before="0" w:after="60"/>
              <w:rPr>
                <w:sz w:val="18"/>
              </w:rPr>
            </w:pPr>
            <w:r>
              <w:rPr>
                <w:sz w:val="18"/>
              </w:rPr>
              <w:t>Some passive ownership rights may conflict with Transco corporate form, especially if SPV becomes publicly traded.</w:t>
            </w:r>
          </w:p>
        </w:tc>
      </w:tr>
      <w:tr>
        <w:trPr>
          <w:trHeight w:val="1826" w:hRule="atLeast"/>
        </w:trPr>
        <w:tc>
          <w:tcPr>
            <w:tcW w:w="2790" w:type="dxa"/>
            <w:tcBorders>
              <w:top w:val="single" w:sz="4" w:space="0" w:color="000000"/>
              <w:start w:val="single" w:sz="4" w:space="0" w:color="000000"/>
              <w:end w:val="single" w:sz="4" w:space="0" w:color="000000"/>
            </w:tcBorders>
          </w:tcPr>
          <w:p>
            <w:pPr>
              <w:pStyle w:val="Normal"/>
              <w:keepNext w:val="true"/>
              <w:keepLines/>
              <w:widowControl w:val="false"/>
              <w:spacing w:before="60" w:after="60"/>
              <w:rPr/>
            </w:pPr>
            <w:r>
              <w:rPr>
                <w:b/>
                <w:sz w:val="18"/>
              </w:rPr>
              <w:t>II.  Governance</w:t>
              <w:br/>
            </w:r>
            <w:r>
              <w:rPr>
                <w:sz w:val="18"/>
              </w:rPr>
              <w:t>(continued)</w:t>
            </w:r>
          </w:p>
        </w:tc>
        <w:tc>
          <w:tcPr>
            <w:tcW w:w="2563" w:type="dxa"/>
            <w:tcBorders>
              <w:top w:val="single" w:sz="4" w:space="0" w:color="000000"/>
              <w:start w:val="single" w:sz="4" w:space="0" w:color="000000"/>
              <w:bottom w:val="single" w:sz="4" w:space="0" w:color="000000"/>
              <w:end w:val="single" w:sz="4" w:space="0" w:color="000000"/>
            </w:tcBorders>
          </w:tcPr>
          <w:p>
            <w:pPr>
              <w:pStyle w:val="Normal"/>
              <w:keepNext w:val="true"/>
              <w:keepLines/>
              <w:widowControl w:val="false"/>
              <w:spacing w:before="60" w:after="60"/>
              <w:rPr/>
            </w:pPr>
            <w:r>
              <w:rPr>
                <w:b/>
                <w:sz w:val="18"/>
              </w:rPr>
              <w:t>1.</w:t>
            </w:r>
            <w:r>
              <w:rPr>
                <w:sz w:val="18"/>
              </w:rPr>
              <w:t xml:space="preserve">  The merger, consolidation, conversion, sale of stock or similar transactions that result in Alliance Publico no longer being in control of Alliance Transco.</w:t>
            </w:r>
          </w:p>
        </w:tc>
        <w:tc>
          <w:tcPr>
            <w:tcW w:w="2565" w:type="dxa"/>
            <w:tcBorders>
              <w:top w:val="single" w:sz="4" w:space="0" w:color="000000"/>
              <w:start w:val="single" w:sz="4" w:space="0" w:color="000000"/>
              <w:bottom w:val="single" w:sz="4" w:space="0" w:color="000000"/>
              <w:end w:val="single" w:sz="4" w:space="0" w:color="000000"/>
            </w:tcBorders>
          </w:tcPr>
          <w:p>
            <w:pPr>
              <w:pStyle w:val="Normal"/>
              <w:keepNext w:val="true"/>
              <w:keepLines/>
              <w:widowControl w:val="false"/>
              <w:spacing w:before="60" w:after="60"/>
              <w:rPr/>
            </w:pPr>
            <w:r>
              <w:rPr>
                <w:b/>
                <w:sz w:val="18"/>
              </w:rPr>
              <w:t>1.</w:t>
            </w:r>
            <w:r>
              <w:rPr>
                <w:sz w:val="18"/>
              </w:rPr>
              <w:t xml:space="preserve">  Merger of the Transco with another entity.</w:t>
            </w:r>
          </w:p>
        </w:tc>
        <w:tc>
          <w:tcPr>
            <w:tcW w:w="2971" w:type="dxa"/>
            <w:tcBorders>
              <w:top w:val="single" w:sz="4" w:space="0" w:color="000000"/>
              <w:start w:val="single" w:sz="4" w:space="0" w:color="000000"/>
              <w:bottom w:val="single" w:sz="4" w:space="0" w:color="000000"/>
              <w:end w:val="single" w:sz="4" w:space="0" w:color="000000"/>
            </w:tcBorders>
          </w:tcPr>
          <w:p>
            <w:pPr>
              <w:pStyle w:val="Normal"/>
              <w:keepNext w:val="true"/>
              <w:keepLines/>
              <w:widowControl w:val="false"/>
              <w:spacing w:before="60" w:after="0"/>
              <w:rPr>
                <w:sz w:val="18"/>
              </w:rPr>
            </w:pPr>
            <w:r>
              <w:rPr>
                <w:sz w:val="18"/>
                <w:u w:val="single"/>
              </w:rPr>
              <w:t>Alliance Order</w:t>
            </w:r>
            <w:r>
              <w:rPr>
                <w:sz w:val="18"/>
              </w:rPr>
              <w:t>:  Applicants must either remove this provision or provide additional justification.</w:t>
            </w:r>
            <w:r>
              <w:rPr>
                <w:rStyle w:val="FootnoteCharacters"/>
                <w:rStyle w:val="FootnoteReference"/>
                <w:sz w:val="18"/>
              </w:rPr>
              <w:footnoteReference w:id="9"/>
            </w:r>
          </w:p>
          <w:p>
            <w:pPr>
              <w:pStyle w:val="Normal"/>
              <w:keepNext w:val="true"/>
              <w:keepLines/>
              <w:widowControl w:val="false"/>
              <w:spacing w:before="60" w:after="0"/>
              <w:rPr>
                <w:sz w:val="18"/>
              </w:rPr>
            </w:pPr>
            <w:r>
              <w:rPr>
                <w:sz w:val="18"/>
                <w:u w:val="single"/>
              </w:rPr>
              <w:t>Order No. 2000</w:t>
            </w:r>
            <w:r>
              <w:rPr>
                <w:sz w:val="18"/>
              </w:rPr>
              <w:t>:  FERC will be flexible with respect to organizational structure of RTOs.</w:t>
            </w:r>
            <w:r>
              <w:rPr>
                <w:rStyle w:val="FootnoteCharacters"/>
                <w:rStyle w:val="FootnoteReference"/>
                <w:sz w:val="18"/>
              </w:rPr>
              <w:footnoteReference w:id="10"/>
            </w:r>
          </w:p>
          <w:p>
            <w:pPr>
              <w:pStyle w:val="Normal"/>
              <w:keepNext w:val="true"/>
              <w:keepLines/>
              <w:widowControl w:val="false"/>
              <w:spacing w:before="60" w:after="60"/>
              <w:rPr>
                <w:sz w:val="18"/>
              </w:rPr>
            </w:pPr>
            <w:r>
              <w:rPr>
                <w:sz w:val="18"/>
              </w:rPr>
              <w:t>But the RTO must remain independent of passive owners and other market participants.</w:t>
            </w:r>
            <w:r>
              <w:rPr>
                <w:rStyle w:val="FootnoteCharacters"/>
                <w:rStyle w:val="FootnoteReference"/>
                <w:sz w:val="18"/>
              </w:rPr>
              <w:footnoteReference w:id="11"/>
            </w:r>
          </w:p>
        </w:tc>
        <w:tc>
          <w:tcPr>
            <w:tcW w:w="3149" w:type="dxa"/>
            <w:tcBorders>
              <w:top w:val="single" w:sz="4" w:space="0" w:color="000000"/>
              <w:start w:val="single" w:sz="4" w:space="0" w:color="000000"/>
              <w:bottom w:val="single" w:sz="4" w:space="0" w:color="000000"/>
              <w:end w:val="single" w:sz="4" w:space="0" w:color="000000"/>
            </w:tcBorders>
          </w:tcPr>
          <w:p>
            <w:pPr>
              <w:pStyle w:val="Normal"/>
              <w:keepNext w:val="true"/>
              <w:keepLines/>
              <w:widowControl w:val="false"/>
              <w:spacing w:before="60" w:after="60"/>
              <w:rPr/>
            </w:pPr>
            <w:r>
              <w:rPr>
                <w:sz w:val="18"/>
              </w:rPr>
              <w:t>FERC has already upheld the right of passive owners to discharge the general partner for cause.</w:t>
            </w:r>
            <w:r>
              <w:rPr>
                <w:rStyle w:val="FootnoteCharacters"/>
                <w:rStyle w:val="FootnoteReference"/>
                <w:sz w:val="18"/>
              </w:rPr>
              <w:footnoteReference w:id="12"/>
            </w:r>
            <w:r>
              <w:rPr>
                <w:sz w:val="18"/>
              </w:rPr>
              <w:t xml:space="preserve">  Merging the Transco is similar to changing the general partner, and this provides an argument for approval.</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keepNext w:val="true"/>
              <w:keepLines/>
              <w:widowControl w:val="false"/>
              <w:snapToGrid w:val="false"/>
              <w:spacing w:before="60" w:after="60"/>
              <w:rPr>
                <w:sz w:val="18"/>
              </w:rPr>
            </w:pPr>
            <w:r>
              <w:rPr>
                <w:sz w:val="18"/>
              </w:rPr>
            </w:r>
          </w:p>
        </w:tc>
        <w:tc>
          <w:tcPr>
            <w:tcW w:w="2563" w:type="dxa"/>
            <w:tcBorders>
              <w:top w:val="single" w:sz="4" w:space="0" w:color="000000"/>
              <w:start w:val="single" w:sz="4" w:space="0" w:color="000000"/>
              <w:end w:val="single" w:sz="4" w:space="0" w:color="000000"/>
            </w:tcBorders>
          </w:tcPr>
          <w:p>
            <w:pPr>
              <w:pStyle w:val="Normal"/>
              <w:keepNext w:val="true"/>
              <w:keepLines/>
              <w:widowControl w:val="false"/>
              <w:spacing w:before="60" w:after="60"/>
              <w:rPr/>
            </w:pPr>
            <w:r>
              <w:rPr>
                <w:b/>
                <w:sz w:val="18"/>
              </w:rPr>
              <w:t>2.</w:t>
            </w:r>
            <w:r>
              <w:rPr>
                <w:sz w:val="18"/>
              </w:rPr>
              <w:t xml:space="preserve">  The sale of all or substantially all of the assets of Alliance Transco or a liquidation, dissolution or winding up of the affairs of Alliance Transco</w:t>
            </w:r>
          </w:p>
        </w:tc>
        <w:tc>
          <w:tcPr>
            <w:tcW w:w="2565" w:type="dxa"/>
            <w:tcBorders>
              <w:top w:val="single" w:sz="4" w:space="0" w:color="000000"/>
              <w:start w:val="single" w:sz="4" w:space="0" w:color="000000"/>
              <w:end w:val="single" w:sz="4" w:space="0" w:color="000000"/>
            </w:tcBorders>
          </w:tcPr>
          <w:p>
            <w:pPr>
              <w:pStyle w:val="Normal"/>
              <w:keepNext w:val="true"/>
              <w:keepLines/>
              <w:widowControl w:val="false"/>
              <w:spacing w:before="60" w:after="60"/>
              <w:rPr/>
            </w:pPr>
            <w:r>
              <w:rPr>
                <w:b/>
                <w:sz w:val="18"/>
              </w:rPr>
              <w:t>2.</w:t>
            </w:r>
            <w:r>
              <w:rPr>
                <w:sz w:val="18"/>
              </w:rPr>
              <w:t xml:space="preserve">  Sale of 5% or greater of the fair market value of business or assets of the Transco.</w:t>
            </w:r>
          </w:p>
        </w:tc>
        <w:tc>
          <w:tcPr>
            <w:tcW w:w="2971" w:type="dxa"/>
            <w:tcBorders>
              <w:top w:val="single" w:sz="4" w:space="0" w:color="000000"/>
              <w:start w:val="single" w:sz="4" w:space="0" w:color="000000"/>
              <w:end w:val="single" w:sz="4" w:space="0" w:color="000000"/>
            </w:tcBorders>
          </w:tcPr>
          <w:p>
            <w:pPr>
              <w:pStyle w:val="Normal"/>
              <w:keepNext w:val="true"/>
              <w:keepLines/>
              <w:widowControl w:val="false"/>
              <w:spacing w:before="60" w:after="60"/>
              <w:rPr>
                <w:sz w:val="18"/>
              </w:rPr>
            </w:pPr>
            <w:r>
              <w:rPr>
                <w:sz w:val="18"/>
                <w:u w:val="single"/>
              </w:rPr>
              <w:t>Alliance Order</w:t>
            </w:r>
            <w:r>
              <w:rPr>
                <w:sz w:val="18"/>
              </w:rPr>
              <w:t>: Any withdrawal of transmission facilities will require FERC approval under Sections 203 and 205.</w:t>
            </w:r>
            <w:r>
              <w:rPr>
                <w:rStyle w:val="FootnoteCharacters"/>
                <w:rStyle w:val="FootnoteReference"/>
                <w:sz w:val="18"/>
              </w:rPr>
              <w:footnoteReference w:id="13"/>
            </w:r>
          </w:p>
          <w:p>
            <w:pPr>
              <w:pStyle w:val="Normal"/>
              <w:keepNext w:val="true"/>
              <w:keepLines/>
              <w:widowControl w:val="false"/>
              <w:spacing w:before="60" w:after="60"/>
              <w:rPr/>
            </w:pPr>
            <w:r>
              <w:rPr>
                <w:sz w:val="18"/>
                <w:u w:val="single"/>
              </w:rPr>
              <w:t>Order No. 2000</w:t>
            </w:r>
            <w:r>
              <w:rPr>
                <w:sz w:val="18"/>
              </w:rPr>
              <w:t>: No discussion</w:t>
            </w:r>
          </w:p>
        </w:tc>
        <w:tc>
          <w:tcPr>
            <w:tcW w:w="3149" w:type="dxa"/>
            <w:tcBorders>
              <w:top w:val="single" w:sz="4" w:space="0" w:color="000000"/>
              <w:start w:val="single" w:sz="4" w:space="0" w:color="000000"/>
              <w:end w:val="single" w:sz="4" w:space="0" w:color="000000"/>
            </w:tcBorders>
          </w:tcPr>
          <w:p>
            <w:pPr>
              <w:pStyle w:val="Normal"/>
              <w:keepNext w:val="true"/>
              <w:keepLines/>
              <w:widowControl w:val="false"/>
              <w:spacing w:before="60" w:after="60"/>
              <w:rPr>
                <w:sz w:val="18"/>
              </w:rPr>
            </w:pPr>
            <w:r>
              <w:rPr>
                <w:sz w:val="18"/>
              </w:rPr>
              <w:t>FERC’s objective is to preclude withdrawal (abandonment) of facilities from the RTO.  It will not object to votes against withdrawal; and FERC will retain authority to disapprove of votes in favor of withdrawal.  Therefore, FERC should not object to either the Alliance’s proposal or Enron’s proposal.</w:t>
            </w:r>
          </w:p>
        </w:tc>
      </w:tr>
      <w:tr>
        <w:trPr>
          <w:trHeight w:val="4690" w:hRule="atLeast"/>
        </w:trPr>
        <w:tc>
          <w:tcPr>
            <w:tcW w:w="2790" w:type="dxa"/>
            <w:tcBorders>
              <w:top w:val="single" w:sz="4" w:space="0" w:color="000000"/>
              <w:start w:val="single" w:sz="4" w:space="0" w:color="000000"/>
              <w:bottom w:val="single" w:sz="4" w:space="0" w:color="000000"/>
            </w:tcBorders>
          </w:tcPr>
          <w:p>
            <w:pPr>
              <w:pStyle w:val="Normal"/>
              <w:widowControl w:val="false"/>
              <w:spacing w:before="60" w:after="60"/>
              <w:rPr/>
            </w:pPr>
            <w:r>
              <w:rPr>
                <w:b/>
                <w:sz w:val="18"/>
              </w:rPr>
              <w:t>II.  Governance</w:t>
              <w:br/>
            </w:r>
            <w:r>
              <w:rPr>
                <w:sz w:val="18"/>
              </w:rPr>
              <w:t>(continued)</w:t>
            </w:r>
          </w:p>
        </w:tc>
        <w:tc>
          <w:tcPr>
            <w:tcW w:w="2563"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60"/>
              <w:rPr/>
            </w:pPr>
            <w:r>
              <w:rPr>
                <w:b/>
                <w:sz w:val="18"/>
              </w:rPr>
              <w:t>3.</w:t>
            </w:r>
            <w:r>
              <w:rPr>
                <w:sz w:val="18"/>
              </w:rPr>
              <w:t xml:space="preserve">  The acquisition, disposition or encumbrance of a transmission facility or other material asset where such acquisition, disposition or encumbrance would dilute the value of the Divesting Transmission Owner’s membership interest</w:t>
            </w:r>
          </w:p>
        </w:tc>
        <w:tc>
          <w:tcPr>
            <w:tcW w:w="2565"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60"/>
              <w:rPr/>
            </w:pPr>
            <w:r>
              <w:rPr>
                <w:b/>
                <w:sz w:val="18"/>
              </w:rPr>
              <w:t>3.</w:t>
            </w:r>
            <w:r>
              <w:rPr>
                <w:sz w:val="18"/>
              </w:rPr>
              <w:t xml:space="preserve">  Making capital expenditures in excess of a range as determined in a multi-year capital approval process.</w:t>
            </w:r>
          </w:p>
        </w:tc>
        <w:tc>
          <w:tcPr>
            <w:tcW w:w="2971"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60"/>
              <w:rPr>
                <w:sz w:val="18"/>
              </w:rPr>
            </w:pPr>
            <w:r>
              <w:rPr>
                <w:sz w:val="18"/>
              </w:rPr>
              <w:t>Alliance Order: Because “dilution of value” is not defined, FERC directs Applicants to remove this right or provide additional justification.</w:t>
            </w:r>
            <w:r>
              <w:rPr>
                <w:rStyle w:val="FootnoteCharacters"/>
                <w:rStyle w:val="FootnoteReference"/>
                <w:sz w:val="18"/>
              </w:rPr>
              <w:footnoteReference w:id="14"/>
            </w:r>
          </w:p>
          <w:p>
            <w:pPr>
              <w:pStyle w:val="Normal"/>
              <w:widowControl w:val="false"/>
              <w:spacing w:before="60" w:after="60"/>
              <w:rPr>
                <w:sz w:val="18"/>
              </w:rPr>
            </w:pPr>
            <w:r>
              <w:rPr>
                <w:sz w:val="18"/>
              </w:rPr>
              <w:t>Later in the same order, FERC directs Applicants to revise and support proposal in light of Order No. 2000.</w:t>
            </w:r>
            <w:r>
              <w:rPr>
                <w:rStyle w:val="FootnoteCharacters"/>
                <w:rStyle w:val="FootnoteReference"/>
                <w:sz w:val="18"/>
              </w:rPr>
              <w:footnoteReference w:id="15"/>
            </w:r>
          </w:p>
          <w:p>
            <w:pPr>
              <w:pStyle w:val="Normal"/>
              <w:widowControl w:val="false"/>
              <w:spacing w:before="60" w:after="60"/>
              <w:rPr>
                <w:sz w:val="18"/>
              </w:rPr>
            </w:pPr>
            <w:r>
              <w:rPr>
                <w:sz w:val="18"/>
              </w:rPr>
              <w:t>Order No. 2000: A factor in determining whether RTO satisfies independence requirement is that RTO can make “investment and financing decisions independently of its passive owners.”</w:t>
            </w:r>
            <w:r>
              <w:rPr>
                <w:rStyle w:val="FootnoteCharacters"/>
                <w:rStyle w:val="FootnoteReference"/>
                <w:sz w:val="18"/>
              </w:rPr>
              <w:footnoteReference w:id="16"/>
            </w:r>
          </w:p>
          <w:p>
            <w:pPr>
              <w:pStyle w:val="Normal"/>
              <w:widowControl w:val="false"/>
              <w:spacing w:before="60" w:after="60"/>
              <w:rPr>
                <w:sz w:val="18"/>
              </w:rPr>
            </w:pPr>
            <w:r>
              <w:rPr>
                <w:sz w:val="18"/>
              </w:rPr>
              <w:t>Also, FERC requires an RTO to have “ultimate responsibility for both transmission planning and expansion within its region.”</w:t>
            </w:r>
            <w:r>
              <w:rPr>
                <w:rStyle w:val="FootnoteCharacters"/>
                <w:rStyle w:val="FootnoteReference"/>
                <w:sz w:val="18"/>
              </w:rPr>
              <w:footnoteReference w:id="17"/>
            </w:r>
          </w:p>
        </w:tc>
        <w:tc>
          <w:tcPr>
            <w:tcW w:w="3149"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60"/>
              <w:rPr/>
            </w:pPr>
            <w:r>
              <w:rPr>
                <w:sz w:val="18"/>
              </w:rPr>
              <w:t>Order No. 2000 makes clear that FERC’s concern goes beyond the definition of dilution.  Under Order No. 2000 a central feature of an RTO is the ability to decide and carryout expansions of the transmission system.</w:t>
            </w:r>
            <w:r>
              <w:rPr>
                <w:rStyle w:val="FootnoteCharacters"/>
                <w:rStyle w:val="FootnoteReference"/>
                <w:sz w:val="18"/>
              </w:rPr>
              <w:footnoteReference w:id="18"/>
            </w:r>
            <w:r>
              <w:rPr>
                <w:sz w:val="18"/>
              </w:rPr>
              <w:t xml:space="preserve">  Therefore, FERC should be concerned with passive owners having a right to vote on investments by the RTO.</w:t>
            </w:r>
          </w:p>
          <w:p>
            <w:pPr>
              <w:pStyle w:val="Normal"/>
              <w:widowControl w:val="false"/>
              <w:spacing w:before="60" w:after="60"/>
              <w:rPr>
                <w:sz w:val="18"/>
              </w:rPr>
            </w:pPr>
            <w:r>
              <w:rPr>
                <w:sz w:val="18"/>
              </w:rPr>
              <w:t>But FERC did not reject the Alliance proposal completely.  Hence some passive owner control over capital expenditures may be acceptable.</w:t>
            </w:r>
          </w:p>
          <w:p>
            <w:pPr>
              <w:pStyle w:val="Normal"/>
              <w:widowControl w:val="false"/>
              <w:spacing w:before="60" w:after="60"/>
              <w:rPr>
                <w:sz w:val="18"/>
              </w:rPr>
            </w:pPr>
            <w:r>
              <w:rPr>
                <w:sz w:val="18"/>
              </w:rPr>
              <w:t>Alliance and Enron have proposed formulations to limit passive owner control over capital expenditures.  Enron’s provides a numerical threshold and is therefore easier to implement. FERC will be concerned with where the threshold is set.</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keepNext w:val="true"/>
              <w:keepLines/>
              <w:widowControl w:val="false"/>
              <w:snapToGrid w:val="false"/>
              <w:spacing w:before="60" w:after="60"/>
              <w:rPr>
                <w:sz w:val="18"/>
              </w:rPr>
            </w:pPr>
            <w:r>
              <w:rPr>
                <w:sz w:val="18"/>
              </w:rPr>
            </w:r>
          </w:p>
        </w:tc>
        <w:tc>
          <w:tcPr>
            <w:tcW w:w="2563" w:type="dxa"/>
            <w:tcBorders>
              <w:start w:val="single" w:sz="4" w:space="0" w:color="000000"/>
              <w:bottom w:val="single" w:sz="4" w:space="0" w:color="000000"/>
              <w:end w:val="single" w:sz="4" w:space="0" w:color="000000"/>
            </w:tcBorders>
          </w:tcPr>
          <w:p>
            <w:pPr>
              <w:pStyle w:val="Normal"/>
              <w:keepNext w:val="true"/>
              <w:keepLines/>
              <w:widowControl w:val="false"/>
              <w:spacing w:before="60" w:after="60"/>
              <w:rPr/>
            </w:pPr>
            <w:r>
              <w:rPr>
                <w:b/>
                <w:sz w:val="18"/>
              </w:rPr>
              <w:t>4.</w:t>
            </w:r>
            <w:r>
              <w:rPr>
                <w:sz w:val="18"/>
              </w:rPr>
              <w:t xml:space="preserve">  No proposal</w:t>
            </w:r>
          </w:p>
        </w:tc>
        <w:tc>
          <w:tcPr>
            <w:tcW w:w="2565" w:type="dxa"/>
            <w:tcBorders>
              <w:start w:val="single" w:sz="4" w:space="0" w:color="000000"/>
              <w:bottom w:val="single" w:sz="4" w:space="0" w:color="000000"/>
              <w:end w:val="single" w:sz="4" w:space="0" w:color="000000"/>
            </w:tcBorders>
          </w:tcPr>
          <w:p>
            <w:pPr>
              <w:pStyle w:val="Normal"/>
              <w:keepNext w:val="true"/>
              <w:keepLines/>
              <w:widowControl w:val="false"/>
              <w:spacing w:before="60" w:after="60"/>
              <w:rPr/>
            </w:pPr>
            <w:r>
              <w:rPr>
                <w:b/>
                <w:sz w:val="18"/>
              </w:rPr>
              <w:t>4.</w:t>
            </w:r>
            <w:r>
              <w:rPr>
                <w:sz w:val="18"/>
              </w:rPr>
              <w:t xml:space="preserve">  Adopting an operating and maintenance budget having an increase for an expense category greater than 10% over the previous year’s budget, or an aggregate increase of 15% over the previous year’s budget</w:t>
            </w:r>
          </w:p>
        </w:tc>
        <w:tc>
          <w:tcPr>
            <w:tcW w:w="2971" w:type="dxa"/>
            <w:tcBorders>
              <w:start w:val="single" w:sz="4" w:space="0" w:color="000000"/>
              <w:bottom w:val="single" w:sz="4" w:space="0" w:color="000000"/>
              <w:end w:val="single" w:sz="4" w:space="0" w:color="000000"/>
            </w:tcBorders>
          </w:tcPr>
          <w:p>
            <w:pPr>
              <w:pStyle w:val="Normal"/>
              <w:keepNext w:val="true"/>
              <w:keepLines/>
              <w:widowControl w:val="false"/>
              <w:spacing w:before="60" w:after="60"/>
              <w:rPr/>
            </w:pPr>
            <w:r>
              <w:rPr>
                <w:sz w:val="18"/>
                <w:u w:val="single"/>
              </w:rPr>
              <w:t>Alliance Order</w:t>
            </w:r>
            <w:r>
              <w:rPr>
                <w:sz w:val="18"/>
              </w:rPr>
              <w:t>: No discussion</w:t>
            </w:r>
          </w:p>
          <w:p>
            <w:pPr>
              <w:pStyle w:val="Normal"/>
              <w:keepNext w:val="true"/>
              <w:keepLines/>
              <w:widowControl w:val="false"/>
              <w:spacing w:before="60" w:after="60"/>
              <w:rPr>
                <w:sz w:val="18"/>
              </w:rPr>
            </w:pPr>
            <w:r>
              <w:rPr>
                <w:sz w:val="18"/>
                <w:u w:val="single"/>
              </w:rPr>
              <w:t>Order No. 2000</w:t>
            </w:r>
            <w:r>
              <w:rPr>
                <w:sz w:val="18"/>
              </w:rPr>
              <w:t>: A necessary function of the RTO is control over transmission maintenance.</w:t>
            </w:r>
            <w:r>
              <w:rPr>
                <w:rStyle w:val="FootnoteCharacters"/>
                <w:rStyle w:val="FootnoteReference"/>
                <w:sz w:val="18"/>
              </w:rPr>
              <w:footnoteReference w:id="19"/>
            </w:r>
          </w:p>
        </w:tc>
        <w:tc>
          <w:tcPr>
            <w:tcW w:w="3149" w:type="dxa"/>
            <w:tcBorders>
              <w:start w:val="single" w:sz="4" w:space="0" w:color="000000"/>
              <w:bottom w:val="single" w:sz="4" w:space="0" w:color="000000"/>
              <w:end w:val="single" w:sz="4" w:space="0" w:color="000000"/>
            </w:tcBorders>
          </w:tcPr>
          <w:p>
            <w:pPr>
              <w:pStyle w:val="Normal"/>
              <w:keepNext w:val="true"/>
              <w:keepLines/>
              <w:widowControl w:val="false"/>
              <w:spacing w:before="60" w:after="60"/>
              <w:rPr>
                <w:sz w:val="18"/>
              </w:rPr>
            </w:pPr>
            <w:r>
              <w:rPr>
                <w:sz w:val="18"/>
              </w:rPr>
              <w:t>The right to approve O&amp;M budgets may conflict with the RTO’s control of maintenance.  The issue is likely to turn on whether the yearly variations in O&amp;M budgets routinely exceed the threshold amounts.</w:t>
            </w:r>
          </w:p>
        </w:tc>
      </w:tr>
    </w:tbl>
    <w:p>
      <w:pPr>
        <w:pStyle w:val="Normal"/>
        <w:rPr/>
      </w:pPr>
      <w:r>
        <w:rPr/>
      </w:r>
      <w:r>
        <w:br w:type="page"/>
      </w:r>
    </w:p>
    <w:tbl>
      <w:tblPr>
        <w:tblW w:w="14038" w:type="dxa"/>
        <w:jc w:val="center"/>
        <w:tblInd w:w="0" w:type="dxa"/>
        <w:tblLayout w:type="fixed"/>
        <w:tblCellMar>
          <w:top w:w="0" w:type="dxa"/>
          <w:start w:w="120" w:type="dxa"/>
          <w:bottom w:w="0" w:type="dxa"/>
          <w:end w:w="120" w:type="dxa"/>
        </w:tblCellMar>
      </w:tblPr>
      <w:tblGrid>
        <w:gridCol w:w="2790"/>
        <w:gridCol w:w="2563"/>
        <w:gridCol w:w="2565"/>
        <w:gridCol w:w="2971"/>
        <w:gridCol w:w="3149"/>
      </w:tblGrid>
      <w:tr>
        <w:trPr/>
        <w:tc>
          <w:tcPr>
            <w:tcW w:w="2790" w:type="dxa"/>
            <w:tcBorders>
              <w:top w:val="single" w:sz="4" w:space="0" w:color="000000"/>
              <w:start w:val="single" w:sz="4" w:space="0" w:color="000000"/>
              <w:end w:val="single" w:sz="4" w:space="0" w:color="000000"/>
            </w:tcBorders>
          </w:tcPr>
          <w:p>
            <w:pPr>
              <w:pStyle w:val="Normal"/>
              <w:pageBreakBefore/>
              <w:widowControl w:val="false"/>
              <w:spacing w:before="60" w:after="60"/>
              <w:rPr/>
            </w:pPr>
            <w:r>
              <w:rPr>
                <w:b/>
                <w:sz w:val="18"/>
              </w:rPr>
              <w:t>II.  Governance</w:t>
              <w:br/>
            </w:r>
            <w:r>
              <w:rPr>
                <w:sz w:val="18"/>
              </w:rPr>
              <w:t>(continued)</w:t>
            </w:r>
          </w:p>
        </w:tc>
        <w:tc>
          <w:tcPr>
            <w:tcW w:w="2563" w:type="dxa"/>
            <w:tcBorders>
              <w:top w:val="single" w:sz="4" w:space="0" w:color="000000"/>
              <w:start w:val="single" w:sz="4" w:space="0" w:color="000000"/>
              <w:end w:val="single" w:sz="4" w:space="0" w:color="000000"/>
            </w:tcBorders>
          </w:tcPr>
          <w:p>
            <w:pPr>
              <w:pStyle w:val="Normal"/>
              <w:widowControl w:val="false"/>
              <w:spacing w:before="60" w:after="60"/>
              <w:rPr/>
            </w:pPr>
            <w:r>
              <w:rPr>
                <w:b/>
                <w:sz w:val="18"/>
              </w:rPr>
              <w:t>5.</w:t>
            </w:r>
            <w:r>
              <w:rPr>
                <w:sz w:val="18"/>
              </w:rPr>
              <w:t xml:space="preserve">  The sale or issuance by Alliance Transco of membership interests (or securities convertible into, or exercisable or exchangeable for, membership interests) in Alliance where such sale or issuance would dilute the value of the divesting Transmission Owner’s membership interest.</w:t>
            </w:r>
          </w:p>
        </w:tc>
        <w:tc>
          <w:tcPr>
            <w:tcW w:w="2565" w:type="dxa"/>
            <w:tcBorders>
              <w:top w:val="single" w:sz="4" w:space="0" w:color="000000"/>
              <w:start w:val="single" w:sz="4" w:space="0" w:color="000000"/>
              <w:end w:val="single" w:sz="4" w:space="0" w:color="000000"/>
            </w:tcBorders>
          </w:tcPr>
          <w:p>
            <w:pPr>
              <w:pStyle w:val="Normal"/>
              <w:widowControl w:val="false"/>
              <w:spacing w:before="60" w:after="60"/>
              <w:rPr/>
            </w:pPr>
            <w:r>
              <w:rPr>
                <w:b/>
                <w:sz w:val="18"/>
              </w:rPr>
              <w:t>5.</w:t>
            </w:r>
            <w:r>
              <w:rPr>
                <w:sz w:val="18"/>
              </w:rPr>
              <w:t xml:space="preserve">  Admission of new Owners to Transco</w:t>
            </w:r>
          </w:p>
        </w:tc>
        <w:tc>
          <w:tcPr>
            <w:tcW w:w="2971" w:type="dxa"/>
            <w:tcBorders>
              <w:top w:val="single" w:sz="4" w:space="0" w:color="000000"/>
              <w:start w:val="single" w:sz="4" w:space="0" w:color="000000"/>
              <w:end w:val="single" w:sz="4" w:space="0" w:color="000000"/>
            </w:tcBorders>
          </w:tcPr>
          <w:p>
            <w:pPr>
              <w:pStyle w:val="Normal"/>
              <w:widowControl w:val="false"/>
              <w:spacing w:before="60" w:after="60"/>
              <w:rPr>
                <w:sz w:val="18"/>
              </w:rPr>
            </w:pPr>
            <w:r>
              <w:rPr>
                <w:sz w:val="18"/>
                <w:u w:val="single"/>
              </w:rPr>
              <w:t>Alliance Order</w:t>
            </w:r>
            <w:r>
              <w:rPr>
                <w:sz w:val="18"/>
              </w:rPr>
              <w:t>: FERC directs Applicants to revise and support proposal in light of Order No. 2000.</w:t>
            </w:r>
            <w:r>
              <w:rPr>
                <w:rStyle w:val="FootnoteCharacters"/>
                <w:rStyle w:val="FootnoteReference"/>
                <w:sz w:val="18"/>
              </w:rPr>
              <w:footnoteReference w:id="20"/>
            </w:r>
          </w:p>
          <w:p>
            <w:pPr>
              <w:pStyle w:val="Normal"/>
              <w:widowControl w:val="false"/>
              <w:spacing w:before="60" w:after="60"/>
              <w:rPr>
                <w:sz w:val="18"/>
              </w:rPr>
            </w:pPr>
            <w:r>
              <w:rPr>
                <w:sz w:val="18"/>
                <w:u w:val="single"/>
              </w:rPr>
              <w:t>Order No. 2000</w:t>
            </w:r>
            <w:r>
              <w:rPr>
                <w:sz w:val="18"/>
              </w:rPr>
              <w:t>:  A factor in determining whether RTO satisfies independence requirement is whether passive owners have “control over the issuance of new membership interests and/or equity.”</w:t>
            </w:r>
            <w:r>
              <w:rPr>
                <w:rStyle w:val="FootnoteCharacters"/>
                <w:rStyle w:val="FootnoteReference"/>
                <w:sz w:val="18"/>
              </w:rPr>
              <w:footnoteReference w:id="21"/>
            </w:r>
          </w:p>
        </w:tc>
        <w:tc>
          <w:tcPr>
            <w:tcW w:w="3149" w:type="dxa"/>
            <w:tcBorders>
              <w:top w:val="single" w:sz="4" w:space="0" w:color="000000"/>
              <w:start w:val="single" w:sz="4" w:space="0" w:color="000000"/>
              <w:end w:val="single" w:sz="4" w:space="0" w:color="000000"/>
            </w:tcBorders>
          </w:tcPr>
          <w:p>
            <w:pPr>
              <w:pStyle w:val="Normal"/>
              <w:widowControl w:val="false"/>
              <w:spacing w:before="60" w:after="60"/>
              <w:rPr/>
            </w:pPr>
            <w:r>
              <w:rPr>
                <w:sz w:val="18"/>
              </w:rPr>
              <w:t>Under Order No. 2000, an RTO is supposed to have the proper “scope and geographical configuration.”</w:t>
            </w:r>
            <w:r>
              <w:rPr>
                <w:rStyle w:val="FootnoteCharacters"/>
                <w:rStyle w:val="FootnoteReference"/>
                <w:sz w:val="18"/>
              </w:rPr>
              <w:footnoteReference w:id="22"/>
            </w:r>
            <w:r>
              <w:rPr>
                <w:sz w:val="18"/>
              </w:rPr>
              <w:t xml:space="preserve">  Allowing passive owners to vote on new members of the RTO allows the passive owners to affect the RTO’s scope and configuration indirectly.</w:t>
            </w:r>
          </w:p>
          <w:p>
            <w:pPr>
              <w:pStyle w:val="Normal"/>
              <w:widowControl w:val="false"/>
              <w:spacing w:before="60" w:after="60"/>
              <w:rPr>
                <w:sz w:val="18"/>
              </w:rPr>
            </w:pPr>
            <w:r>
              <w:rPr>
                <w:sz w:val="18"/>
              </w:rPr>
              <w:t>But FERC did not reject the Alliance’s proposal completely.  Therefore, some involvement by passive owners in deciding to add new members may be acceptable.  FERC’s position that utilities will have flexibility in determining the form of the Transco would require FERC to give effect to that right.</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8"/>
              </w:rPr>
            </w:pPr>
            <w:r>
              <w:rPr>
                <w:sz w:val="18"/>
              </w:rPr>
            </w:r>
          </w:p>
        </w:tc>
        <w:tc>
          <w:tcPr>
            <w:tcW w:w="2563"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60"/>
              <w:rPr/>
            </w:pPr>
            <w:r>
              <w:rPr>
                <w:b/>
                <w:sz w:val="18"/>
              </w:rPr>
              <w:t>6.</w:t>
            </w:r>
            <w:r>
              <w:rPr>
                <w:sz w:val="18"/>
              </w:rPr>
              <w:t xml:space="preserve">  Amendments or waivers of terms of the Alliance Transco LLC Agreement that would adversely affect a Divesting Transmission Owner</w:t>
            </w:r>
          </w:p>
        </w:tc>
        <w:tc>
          <w:tcPr>
            <w:tcW w:w="2565"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60"/>
              <w:rPr/>
            </w:pPr>
            <w:r>
              <w:rPr>
                <w:b/>
                <w:sz w:val="18"/>
              </w:rPr>
              <w:t>6.</w:t>
            </w:r>
            <w:r>
              <w:rPr>
                <w:sz w:val="18"/>
              </w:rPr>
              <w:t xml:space="preserve">  No proposal</w:t>
            </w:r>
          </w:p>
        </w:tc>
        <w:tc>
          <w:tcPr>
            <w:tcW w:w="2971"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60"/>
              <w:rPr>
                <w:sz w:val="18"/>
              </w:rPr>
            </w:pPr>
            <w:r>
              <w:rPr>
                <w:sz w:val="18"/>
              </w:rPr>
              <w:t xml:space="preserve">Neither the </w:t>
            </w:r>
            <w:r>
              <w:rPr>
                <w:sz w:val="18"/>
                <w:u w:val="single"/>
              </w:rPr>
              <w:t>Alliance Order</w:t>
            </w:r>
            <w:r>
              <w:rPr>
                <w:sz w:val="18"/>
              </w:rPr>
              <w:t xml:space="preserve"> nor Order No. 2000 impose explicit restrictions on the right of passive owners to amend the foundation agreements.  However, Order No. 2000 requires agreements forming the RTO to be filed pursuant to Section 205 of the FPA.</w:t>
            </w:r>
            <w:r>
              <w:rPr>
                <w:rStyle w:val="FootnoteCharacters"/>
                <w:rStyle w:val="FootnoteReference"/>
                <w:sz w:val="18"/>
              </w:rPr>
              <w:footnoteReference w:id="23"/>
            </w:r>
          </w:p>
        </w:tc>
        <w:tc>
          <w:tcPr>
            <w:tcW w:w="3149"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60"/>
              <w:rPr>
                <w:sz w:val="18"/>
              </w:rPr>
            </w:pPr>
            <w:r>
              <w:rPr>
                <w:sz w:val="18"/>
              </w:rPr>
              <w:t>But no explicit limitation is imposed.  FERC will require that changes to the agreements be filed and approved by FERC under Section 205 of the FPA.</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keepNext w:val="true"/>
              <w:keepLines/>
              <w:widowControl w:val="false"/>
              <w:spacing w:before="60" w:after="60"/>
              <w:rPr/>
            </w:pPr>
            <w:r>
              <w:rPr>
                <w:b/>
                <w:sz w:val="18"/>
              </w:rPr>
              <w:t>II.  Governance</w:t>
              <w:br/>
            </w:r>
            <w:r>
              <w:rPr>
                <w:sz w:val="18"/>
              </w:rPr>
              <w:t>(continued)</w:t>
            </w:r>
          </w:p>
        </w:tc>
        <w:tc>
          <w:tcPr>
            <w:tcW w:w="2563" w:type="dxa"/>
            <w:tcBorders>
              <w:top w:val="single" w:sz="4" w:space="0" w:color="000000"/>
              <w:start w:val="single" w:sz="4" w:space="0" w:color="000000"/>
              <w:bottom w:val="single" w:sz="4" w:space="0" w:color="000000"/>
              <w:end w:val="single" w:sz="4" w:space="0" w:color="000000"/>
            </w:tcBorders>
          </w:tcPr>
          <w:p>
            <w:pPr>
              <w:pStyle w:val="Normal"/>
              <w:keepNext w:val="true"/>
              <w:keepLines/>
              <w:widowControl w:val="false"/>
              <w:spacing w:before="60" w:after="60"/>
              <w:rPr/>
            </w:pPr>
            <w:r>
              <w:rPr>
                <w:b/>
                <w:sz w:val="18"/>
              </w:rPr>
              <w:t>7.</w:t>
            </w:r>
            <w:r>
              <w:rPr>
                <w:sz w:val="18"/>
              </w:rPr>
              <w:t xml:space="preserve">  A voluntary bankruptcy filing  by Alliance Transco or certain other actions by or in respect of an Alliance Transco bankruptcy or insolvency event.</w:t>
            </w:r>
          </w:p>
        </w:tc>
        <w:tc>
          <w:tcPr>
            <w:tcW w:w="2565" w:type="dxa"/>
            <w:tcBorders>
              <w:top w:val="single" w:sz="4" w:space="0" w:color="000000"/>
              <w:start w:val="single" w:sz="4" w:space="0" w:color="000000"/>
              <w:bottom w:val="single" w:sz="4" w:space="0" w:color="000000"/>
              <w:end w:val="single" w:sz="4" w:space="0" w:color="000000"/>
            </w:tcBorders>
          </w:tcPr>
          <w:p>
            <w:pPr>
              <w:pStyle w:val="Normal"/>
              <w:keepNext w:val="true"/>
              <w:keepLines/>
              <w:widowControl w:val="false"/>
              <w:spacing w:before="60" w:after="60"/>
              <w:rPr/>
            </w:pPr>
            <w:r>
              <w:rPr>
                <w:b/>
                <w:sz w:val="18"/>
              </w:rPr>
              <w:t>7.</w:t>
            </w:r>
            <w:r>
              <w:rPr>
                <w:sz w:val="18"/>
              </w:rPr>
              <w:t xml:space="preserve">  Commencing a voluntary or admitting a material allegation in an involuntary bankruptcy proceeding.</w:t>
            </w:r>
          </w:p>
        </w:tc>
        <w:tc>
          <w:tcPr>
            <w:tcW w:w="2971" w:type="dxa"/>
            <w:tcBorders>
              <w:top w:val="single" w:sz="4" w:space="0" w:color="000000"/>
              <w:start w:val="single" w:sz="4" w:space="0" w:color="000000"/>
              <w:bottom w:val="single" w:sz="4" w:space="0" w:color="000000"/>
              <w:end w:val="single" w:sz="4" w:space="0" w:color="000000"/>
            </w:tcBorders>
          </w:tcPr>
          <w:p>
            <w:pPr>
              <w:pStyle w:val="Normal"/>
              <w:keepNext w:val="true"/>
              <w:keepLines/>
              <w:widowControl w:val="false"/>
              <w:spacing w:before="60" w:after="60"/>
              <w:rPr>
                <w:sz w:val="18"/>
              </w:rPr>
            </w:pPr>
            <w:r>
              <w:rPr>
                <w:sz w:val="18"/>
              </w:rPr>
              <w:t>Neither the Alliance Order nor Order No. 2000 impose any limitations here.</w:t>
            </w:r>
          </w:p>
        </w:tc>
        <w:tc>
          <w:tcPr>
            <w:tcW w:w="3149" w:type="dxa"/>
            <w:tcBorders>
              <w:top w:val="single" w:sz="4" w:space="0" w:color="000000"/>
              <w:start w:val="single" w:sz="4" w:space="0" w:color="000000"/>
              <w:bottom w:val="single" w:sz="4" w:space="0" w:color="000000"/>
              <w:end w:val="single" w:sz="4" w:space="0" w:color="000000"/>
            </w:tcBorders>
          </w:tcPr>
          <w:p>
            <w:pPr>
              <w:pStyle w:val="Normal"/>
              <w:keepNext w:val="true"/>
              <w:keepLines/>
              <w:widowControl w:val="false"/>
              <w:spacing w:before="60" w:after="60"/>
              <w:rPr>
                <w:sz w:val="18"/>
              </w:rPr>
            </w:pPr>
            <w:r>
              <w:rPr>
                <w:sz w:val="18"/>
              </w:rPr>
              <w:t>FERC should not object to this right.</w:t>
            </w:r>
          </w:p>
        </w:tc>
      </w:tr>
      <w:tr>
        <w:trPr/>
        <w:tc>
          <w:tcPr>
            <w:tcW w:w="2790" w:type="dxa"/>
            <w:tcBorders>
              <w:top w:val="single" w:sz="4" w:space="0" w:color="000000"/>
              <w:start w:val="single" w:sz="4" w:space="0" w:color="000000"/>
              <w:end w:val="single" w:sz="4" w:space="0" w:color="000000"/>
            </w:tcBorders>
          </w:tcPr>
          <w:p>
            <w:pPr>
              <w:pStyle w:val="Normal"/>
              <w:keepNext w:val="true"/>
              <w:keepLines/>
              <w:widowControl w:val="false"/>
              <w:snapToGrid w:val="false"/>
              <w:spacing w:before="60" w:after="60"/>
              <w:rPr>
                <w:sz w:val="18"/>
              </w:rPr>
            </w:pPr>
            <w:r>
              <w:rPr>
                <w:sz w:val="18"/>
              </w:rPr>
            </w:r>
          </w:p>
        </w:tc>
        <w:tc>
          <w:tcPr>
            <w:tcW w:w="2563" w:type="dxa"/>
            <w:tcBorders>
              <w:top w:val="single" w:sz="4" w:space="0" w:color="000000"/>
              <w:start w:val="single" w:sz="4" w:space="0" w:color="000000"/>
              <w:end w:val="single" w:sz="4" w:space="0" w:color="000000"/>
            </w:tcBorders>
          </w:tcPr>
          <w:p>
            <w:pPr>
              <w:pStyle w:val="Normal"/>
              <w:keepNext w:val="true"/>
              <w:keepLines/>
              <w:widowControl w:val="false"/>
              <w:spacing w:before="60" w:after="60"/>
              <w:rPr/>
            </w:pPr>
            <w:r>
              <w:rPr>
                <w:b/>
                <w:sz w:val="18"/>
              </w:rPr>
              <w:t>8.</w:t>
            </w:r>
            <w:r>
              <w:rPr>
                <w:sz w:val="18"/>
              </w:rPr>
              <w:t xml:space="preserve">  No proposal</w:t>
            </w:r>
          </w:p>
        </w:tc>
        <w:tc>
          <w:tcPr>
            <w:tcW w:w="2565" w:type="dxa"/>
            <w:tcBorders>
              <w:top w:val="single" w:sz="4" w:space="0" w:color="000000"/>
              <w:start w:val="single" w:sz="4" w:space="0" w:color="000000"/>
              <w:end w:val="single" w:sz="4" w:space="0" w:color="000000"/>
            </w:tcBorders>
          </w:tcPr>
          <w:p>
            <w:pPr>
              <w:pStyle w:val="Normal"/>
              <w:keepNext w:val="true"/>
              <w:keepLines/>
              <w:widowControl w:val="false"/>
              <w:spacing w:before="60" w:after="60"/>
              <w:rPr/>
            </w:pPr>
            <w:r>
              <w:rPr>
                <w:b/>
                <w:sz w:val="18"/>
              </w:rPr>
              <w:t>8.</w:t>
            </w:r>
            <w:r>
              <w:rPr>
                <w:sz w:val="18"/>
              </w:rPr>
              <w:t xml:space="preserve">  Making decisions relative to the disposition of insurance proceeds in excess of a pre-determined, mutually agreeable threshold</w:t>
            </w:r>
          </w:p>
        </w:tc>
        <w:tc>
          <w:tcPr>
            <w:tcW w:w="2971" w:type="dxa"/>
            <w:tcBorders>
              <w:top w:val="single" w:sz="4" w:space="0" w:color="000000"/>
              <w:start w:val="single" w:sz="4" w:space="0" w:color="000000"/>
              <w:end w:val="single" w:sz="4" w:space="0" w:color="000000"/>
            </w:tcBorders>
          </w:tcPr>
          <w:p>
            <w:pPr>
              <w:pStyle w:val="Normal"/>
              <w:keepNext w:val="true"/>
              <w:keepLines/>
              <w:widowControl w:val="false"/>
              <w:spacing w:before="60" w:after="60"/>
              <w:rPr/>
            </w:pPr>
            <w:r>
              <w:rPr>
                <w:sz w:val="18"/>
                <w:u w:val="single"/>
              </w:rPr>
              <w:t>Alliance Order</w:t>
            </w:r>
            <w:r>
              <w:rPr>
                <w:sz w:val="18"/>
              </w:rPr>
              <w:t>: No discussion</w:t>
            </w:r>
          </w:p>
          <w:p>
            <w:pPr>
              <w:pStyle w:val="Normal"/>
              <w:keepNext w:val="true"/>
              <w:keepLines/>
              <w:widowControl w:val="false"/>
              <w:spacing w:before="60" w:after="60"/>
              <w:rPr>
                <w:sz w:val="18"/>
              </w:rPr>
            </w:pPr>
            <w:r>
              <w:rPr>
                <w:sz w:val="18"/>
                <w:u w:val="single"/>
              </w:rPr>
              <w:t>Order No. 2000</w:t>
            </w:r>
            <w:r>
              <w:rPr>
                <w:sz w:val="18"/>
              </w:rPr>
              <w:t>: A factor in determining whether RTO satisfies independence requirement is that RTO can make “investment and financing decisions independently of its passive owners.”</w:t>
            </w:r>
            <w:r>
              <w:rPr>
                <w:rStyle w:val="FootnoteCharacters"/>
                <w:rStyle w:val="FootnoteReference"/>
                <w:sz w:val="18"/>
              </w:rPr>
              <w:footnoteReference w:id="24"/>
            </w:r>
          </w:p>
        </w:tc>
        <w:tc>
          <w:tcPr>
            <w:tcW w:w="3149" w:type="dxa"/>
            <w:tcBorders>
              <w:top w:val="single" w:sz="4" w:space="0" w:color="000000"/>
              <w:start w:val="single" w:sz="4" w:space="0" w:color="000000"/>
              <w:end w:val="single" w:sz="4" w:space="0" w:color="000000"/>
            </w:tcBorders>
          </w:tcPr>
          <w:p>
            <w:pPr>
              <w:pStyle w:val="Normal"/>
              <w:keepNext w:val="true"/>
              <w:keepLines/>
              <w:widowControl w:val="false"/>
              <w:spacing w:before="60" w:after="40"/>
              <w:rPr>
                <w:sz w:val="18"/>
              </w:rPr>
            </w:pPr>
            <w:r>
              <w:rPr>
                <w:sz w:val="18"/>
              </w:rPr>
              <w:t>To the extent the proceeds relate to damage to transmission facilities, the proposal runs into FERC’s policy concerning the RTO’s ability to control the maintenance and expansion of the transmission system  independently of passive owners is applicable.</w:t>
            </w:r>
          </w:p>
          <w:p>
            <w:pPr>
              <w:pStyle w:val="Normal"/>
              <w:keepNext w:val="true"/>
              <w:keepLines/>
              <w:widowControl w:val="false"/>
              <w:spacing w:before="40" w:after="40"/>
              <w:rPr>
                <w:sz w:val="18"/>
              </w:rPr>
            </w:pPr>
            <w:r>
              <w:rPr>
                <w:sz w:val="18"/>
              </w:rPr>
              <w:t>But Enron’s proposal limits the right.  FERC is likely to be concerned with the level at which the threshold for the exercise of the right is set.</w:t>
            </w:r>
          </w:p>
        </w:tc>
      </w:tr>
      <w:tr>
        <w:trPr/>
        <w:tc>
          <w:tcPr>
            <w:tcW w:w="2790" w:type="dxa"/>
            <w:tcBorders>
              <w:top w:val="single" w:sz="4" w:space="0" w:color="000000"/>
              <w:start w:val="single" w:sz="4" w:space="0" w:color="000000"/>
              <w:end w:val="single" w:sz="4" w:space="0" w:color="000000"/>
            </w:tcBorders>
          </w:tcPr>
          <w:p>
            <w:pPr>
              <w:pStyle w:val="Normal"/>
              <w:widowControl w:val="false"/>
              <w:snapToGrid w:val="false"/>
              <w:spacing w:before="60" w:after="60"/>
              <w:rPr>
                <w:sz w:val="18"/>
              </w:rPr>
            </w:pPr>
            <w:r>
              <w:rPr>
                <w:sz w:val="18"/>
              </w:rPr>
            </w:r>
          </w:p>
        </w:tc>
        <w:tc>
          <w:tcPr>
            <w:tcW w:w="2563" w:type="dxa"/>
            <w:tcBorders>
              <w:top w:val="single" w:sz="4" w:space="0" w:color="000000"/>
              <w:start w:val="single" w:sz="4" w:space="0" w:color="000000"/>
              <w:end w:val="single" w:sz="4" w:space="0" w:color="000000"/>
            </w:tcBorders>
          </w:tcPr>
          <w:p>
            <w:pPr>
              <w:pStyle w:val="Normal"/>
              <w:widowControl w:val="false"/>
              <w:spacing w:before="60" w:after="60"/>
              <w:rPr/>
            </w:pPr>
            <w:r>
              <w:rPr>
                <w:b/>
                <w:sz w:val="18"/>
              </w:rPr>
              <w:t>9.</w:t>
            </w:r>
            <w:r>
              <w:rPr>
                <w:sz w:val="18"/>
              </w:rPr>
              <w:t xml:space="preserve">  No proposal</w:t>
            </w:r>
          </w:p>
        </w:tc>
        <w:tc>
          <w:tcPr>
            <w:tcW w:w="2565" w:type="dxa"/>
            <w:tcBorders>
              <w:top w:val="single" w:sz="4" w:space="0" w:color="000000"/>
              <w:start w:val="single" w:sz="4" w:space="0" w:color="000000"/>
              <w:end w:val="single" w:sz="4" w:space="0" w:color="000000"/>
            </w:tcBorders>
          </w:tcPr>
          <w:p>
            <w:pPr>
              <w:pStyle w:val="Normal"/>
              <w:widowControl w:val="false"/>
              <w:spacing w:before="60" w:after="60"/>
              <w:rPr/>
            </w:pPr>
            <w:r>
              <w:rPr>
                <w:b/>
                <w:sz w:val="18"/>
              </w:rPr>
              <w:t>9.</w:t>
            </w:r>
            <w:r>
              <w:rPr>
                <w:sz w:val="18"/>
              </w:rPr>
              <w:t xml:space="preserve">  Voting on debt issuances that would reduce the debt coverage ratio below a defined level and on debt issuances with interest rates that exceed a defined premium over some bench-mark, such as the prime rate.</w:t>
            </w:r>
          </w:p>
        </w:tc>
        <w:tc>
          <w:tcPr>
            <w:tcW w:w="2971" w:type="dxa"/>
            <w:tcBorders>
              <w:top w:val="single" w:sz="4" w:space="0" w:color="000000"/>
              <w:start w:val="single" w:sz="4" w:space="0" w:color="000000"/>
              <w:end w:val="single" w:sz="4" w:space="0" w:color="000000"/>
            </w:tcBorders>
          </w:tcPr>
          <w:p>
            <w:pPr>
              <w:pStyle w:val="Normal"/>
              <w:widowControl w:val="false"/>
              <w:spacing w:before="60" w:after="60"/>
              <w:rPr/>
            </w:pPr>
            <w:r>
              <w:rPr>
                <w:sz w:val="18"/>
                <w:u w:val="single"/>
              </w:rPr>
              <w:t>Alliance Order</w:t>
            </w:r>
            <w:r>
              <w:rPr>
                <w:sz w:val="18"/>
              </w:rPr>
              <w:t>: No discussion</w:t>
            </w:r>
          </w:p>
          <w:p>
            <w:pPr>
              <w:pStyle w:val="Normal"/>
              <w:widowControl w:val="false"/>
              <w:spacing w:before="60" w:after="60"/>
              <w:rPr/>
            </w:pPr>
            <w:r>
              <w:rPr>
                <w:sz w:val="18"/>
                <w:u w:val="single"/>
              </w:rPr>
              <w:t>Order No. 2000</w:t>
            </w:r>
            <w:r>
              <w:rPr>
                <w:sz w:val="18"/>
              </w:rPr>
              <w:t>: A factor in determining whether RTO satisfies independence requirement is that RTO can make “investment and financing decisions independently of its passive owners.”</w:t>
            </w:r>
            <w:r>
              <w:rPr>
                <w:rStyle w:val="FootnoteCharacters"/>
                <w:rStyle w:val="FootnoteReference"/>
                <w:sz w:val="18"/>
              </w:rPr>
              <w:footnoteReference w:id="25"/>
            </w:r>
            <w:r>
              <w:rPr>
                <w:sz w:val="18"/>
              </w:rPr>
              <w:t xml:space="preserve">  </w:t>
            </w:r>
          </w:p>
          <w:p>
            <w:pPr>
              <w:pStyle w:val="Normal"/>
              <w:widowControl w:val="false"/>
              <w:spacing w:before="60" w:after="60"/>
              <w:rPr>
                <w:sz w:val="18"/>
              </w:rPr>
            </w:pPr>
            <w:r>
              <w:rPr>
                <w:sz w:val="18"/>
              </w:rPr>
              <w:t>A central characteristic of an RTO is that it has responsibility for transmission planning and expansion in its region.</w:t>
            </w:r>
            <w:r>
              <w:rPr>
                <w:rStyle w:val="FootnoteCharacters"/>
                <w:rStyle w:val="FootnoteReference"/>
                <w:sz w:val="18"/>
              </w:rPr>
              <w:footnoteReference w:id="26"/>
            </w:r>
          </w:p>
        </w:tc>
        <w:tc>
          <w:tcPr>
            <w:tcW w:w="3149" w:type="dxa"/>
            <w:tcBorders>
              <w:top w:val="single" w:sz="4" w:space="0" w:color="000000"/>
              <w:start w:val="single" w:sz="4" w:space="0" w:color="000000"/>
              <w:end w:val="single" w:sz="4" w:space="0" w:color="000000"/>
            </w:tcBorders>
          </w:tcPr>
          <w:p>
            <w:pPr>
              <w:pStyle w:val="Normal"/>
              <w:widowControl w:val="false"/>
              <w:spacing w:before="40" w:after="40"/>
              <w:rPr>
                <w:sz w:val="18"/>
              </w:rPr>
            </w:pPr>
            <w:r>
              <w:rPr>
                <w:sz w:val="18"/>
              </w:rPr>
              <w:t>Allowing passive owners to vote on the repair or rebuilding of transmission facilities runs into FERC’s policy that the RTO should be able decide upon the maintenance and expansion of the transmission system.</w:t>
            </w:r>
          </w:p>
          <w:p>
            <w:pPr>
              <w:pStyle w:val="Normal"/>
              <w:widowControl w:val="false"/>
              <w:spacing w:before="60" w:after="60"/>
              <w:rPr>
                <w:sz w:val="18"/>
              </w:rPr>
            </w:pPr>
            <w:r>
              <w:rPr>
                <w:sz w:val="18"/>
              </w:rPr>
              <w:t>Allowing passive owner to vote on the incurrence of debt to be used to finance the transmission functions of the RTO runs into the policy of the RTO’s independence to decide on the expansion of the transmission system and to obtain financing.</w:t>
            </w:r>
          </w:p>
        </w:tc>
      </w:tr>
      <w:tr>
        <w:trPr/>
        <w:tc>
          <w:tcPr>
            <w:tcW w:w="2790" w:type="dxa"/>
            <w:tcBorders>
              <w:start w:val="single" w:sz="4" w:space="0" w:color="000000"/>
              <w:bottom w:val="single" w:sz="4" w:space="0" w:color="000000"/>
              <w:end w:val="single" w:sz="4" w:space="0" w:color="000000"/>
            </w:tcBorders>
          </w:tcPr>
          <w:p>
            <w:pPr>
              <w:pStyle w:val="Normal"/>
              <w:widowControl w:val="false"/>
              <w:snapToGrid w:val="false"/>
              <w:spacing w:before="60" w:after="60"/>
              <w:rPr>
                <w:sz w:val="18"/>
              </w:rPr>
            </w:pPr>
            <w:r>
              <w:rPr>
                <w:sz w:val="18"/>
              </w:rPr>
            </w:r>
          </w:p>
        </w:tc>
        <w:tc>
          <w:tcPr>
            <w:tcW w:w="2563" w:type="dxa"/>
            <w:tcBorders>
              <w:start w:val="single" w:sz="4" w:space="0" w:color="000000"/>
              <w:bottom w:val="single" w:sz="4" w:space="0" w:color="000000"/>
              <w:end w:val="single" w:sz="4" w:space="0" w:color="000000"/>
            </w:tcBorders>
          </w:tcPr>
          <w:p>
            <w:pPr>
              <w:pStyle w:val="Normal"/>
              <w:widowControl w:val="false"/>
              <w:snapToGrid w:val="false"/>
              <w:spacing w:before="60" w:after="60"/>
              <w:rPr>
                <w:b/>
                <w:sz w:val="18"/>
              </w:rPr>
            </w:pPr>
            <w:r>
              <w:rPr>
                <w:b/>
                <w:sz w:val="18"/>
              </w:rPr>
            </w:r>
          </w:p>
        </w:tc>
        <w:tc>
          <w:tcPr>
            <w:tcW w:w="2565" w:type="dxa"/>
            <w:tcBorders>
              <w:start w:val="single" w:sz="4" w:space="0" w:color="000000"/>
              <w:end w:val="single" w:sz="4" w:space="0" w:color="000000"/>
            </w:tcBorders>
          </w:tcPr>
          <w:p>
            <w:pPr>
              <w:pStyle w:val="Normal"/>
              <w:widowControl w:val="false"/>
              <w:snapToGrid w:val="false"/>
              <w:spacing w:before="60" w:after="60"/>
              <w:rPr>
                <w:b/>
                <w:sz w:val="18"/>
              </w:rPr>
            </w:pPr>
            <w:r>
              <w:rPr>
                <w:b/>
                <w:sz w:val="18"/>
              </w:rPr>
            </w:r>
          </w:p>
        </w:tc>
        <w:tc>
          <w:tcPr>
            <w:tcW w:w="2971" w:type="dxa"/>
            <w:tcBorders>
              <w:start w:val="single" w:sz="4" w:space="0" w:color="000000"/>
              <w:end w:val="single" w:sz="4" w:space="0" w:color="000000"/>
            </w:tcBorders>
          </w:tcPr>
          <w:p>
            <w:pPr>
              <w:pStyle w:val="Normal"/>
              <w:widowControl w:val="false"/>
              <w:snapToGrid w:val="false"/>
              <w:spacing w:before="60" w:after="60"/>
              <w:rPr>
                <w:b/>
                <w:sz w:val="18"/>
              </w:rPr>
            </w:pPr>
            <w:r>
              <w:rPr>
                <w:b/>
                <w:sz w:val="18"/>
              </w:rPr>
            </w:r>
          </w:p>
        </w:tc>
        <w:tc>
          <w:tcPr>
            <w:tcW w:w="3149" w:type="dxa"/>
            <w:tcBorders>
              <w:start w:val="single" w:sz="4" w:space="0" w:color="000000"/>
              <w:end w:val="single" w:sz="4" w:space="0" w:color="000000"/>
            </w:tcBorders>
          </w:tcPr>
          <w:p>
            <w:pPr>
              <w:pStyle w:val="Normal"/>
              <w:widowControl w:val="false"/>
              <w:spacing w:before="0" w:after="40"/>
              <w:rPr>
                <w:sz w:val="18"/>
              </w:rPr>
            </w:pPr>
            <w:r>
              <w:rPr>
                <w:sz w:val="18"/>
              </w:rPr>
              <w:t xml:space="preserve">However, both rights may be necessary to protect the passive owners’ investments.  The issue will likely turn on where the Passive owners can exercise their rights.  </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keepNext w:val="true"/>
              <w:keepLines/>
              <w:widowControl w:val="false"/>
              <w:spacing w:before="60" w:after="60"/>
              <w:rPr/>
            </w:pPr>
            <w:r>
              <w:rPr>
                <w:b/>
                <w:sz w:val="18"/>
              </w:rPr>
              <w:t>II.  Governance</w:t>
              <w:br/>
            </w:r>
            <w:r>
              <w:rPr>
                <w:sz w:val="18"/>
              </w:rPr>
              <w:t>(continued)</w:t>
            </w:r>
          </w:p>
        </w:tc>
        <w:tc>
          <w:tcPr>
            <w:tcW w:w="2563" w:type="dxa"/>
            <w:tcBorders>
              <w:top w:val="single" w:sz="4" w:space="0" w:color="000000"/>
              <w:start w:val="single" w:sz="4" w:space="0" w:color="000000"/>
              <w:bottom w:val="single" w:sz="4" w:space="0" w:color="000000"/>
            </w:tcBorders>
          </w:tcPr>
          <w:p>
            <w:pPr>
              <w:pStyle w:val="Normal"/>
              <w:keepNext w:val="true"/>
              <w:keepLines/>
              <w:widowControl w:val="false"/>
              <w:spacing w:before="60" w:after="60"/>
              <w:rPr/>
            </w:pPr>
            <w:r>
              <w:rPr>
                <w:b/>
                <w:sz w:val="18"/>
              </w:rPr>
              <w:t>10.</w:t>
            </w:r>
            <w:r>
              <w:rPr>
                <w:sz w:val="18"/>
              </w:rPr>
              <w:t xml:space="preserve">  No proposal</w:t>
            </w:r>
          </w:p>
        </w:tc>
        <w:tc>
          <w:tcPr>
            <w:tcW w:w="2565" w:type="dxa"/>
            <w:tcBorders>
              <w:top w:val="single" w:sz="4" w:space="0" w:color="000000"/>
              <w:start w:val="single" w:sz="4" w:space="0" w:color="000000"/>
              <w:bottom w:val="single" w:sz="4" w:space="0" w:color="000000"/>
              <w:end w:val="single" w:sz="4" w:space="0" w:color="000000"/>
            </w:tcBorders>
          </w:tcPr>
          <w:p>
            <w:pPr>
              <w:pStyle w:val="Normal"/>
              <w:keepNext w:val="true"/>
              <w:keepLines/>
              <w:widowControl w:val="false"/>
              <w:spacing w:before="60" w:after="60"/>
              <w:rPr/>
            </w:pPr>
            <w:r>
              <w:rPr>
                <w:b/>
                <w:sz w:val="18"/>
              </w:rPr>
              <w:t>10.</w:t>
            </w:r>
            <w:r>
              <w:rPr>
                <w:sz w:val="18"/>
              </w:rPr>
              <w:t xml:space="preserve">  Making material changes in accounting and distribution policies</w:t>
            </w:r>
          </w:p>
        </w:tc>
        <w:tc>
          <w:tcPr>
            <w:tcW w:w="2971" w:type="dxa"/>
            <w:tcBorders>
              <w:top w:val="single" w:sz="4" w:space="0" w:color="000000"/>
              <w:start w:val="single" w:sz="4" w:space="0" w:color="000000"/>
              <w:bottom w:val="single" w:sz="4" w:space="0" w:color="000000"/>
              <w:end w:val="single" w:sz="4" w:space="0" w:color="000000"/>
            </w:tcBorders>
          </w:tcPr>
          <w:p>
            <w:pPr>
              <w:pStyle w:val="Normal"/>
              <w:keepNext w:val="true"/>
              <w:keepLines/>
              <w:widowControl w:val="false"/>
              <w:spacing w:before="60" w:after="60"/>
              <w:rPr>
                <w:sz w:val="18"/>
              </w:rPr>
            </w:pPr>
            <w:r>
              <w:rPr>
                <w:sz w:val="18"/>
              </w:rPr>
              <w:t>Neither the Alliance Order nor Order No. 2000 discuss this right</w:t>
            </w:r>
          </w:p>
        </w:tc>
        <w:tc>
          <w:tcPr>
            <w:tcW w:w="3149" w:type="dxa"/>
            <w:tcBorders>
              <w:top w:val="single" w:sz="4" w:space="0" w:color="000000"/>
              <w:start w:val="single" w:sz="4" w:space="0" w:color="000000"/>
              <w:bottom w:val="single" w:sz="4" w:space="0" w:color="000000"/>
              <w:end w:val="single" w:sz="4" w:space="0" w:color="000000"/>
            </w:tcBorders>
          </w:tcPr>
          <w:p>
            <w:pPr>
              <w:pStyle w:val="Normal"/>
              <w:keepNext w:val="true"/>
              <w:keepLines/>
              <w:widowControl w:val="false"/>
              <w:spacing w:before="60" w:after="60"/>
              <w:rPr>
                <w:sz w:val="18"/>
              </w:rPr>
            </w:pPr>
            <w:r>
              <w:rPr>
                <w:sz w:val="18"/>
              </w:rPr>
              <w:t xml:space="preserve">Passive owners should be able to make these decisions. </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8"/>
              </w:rPr>
            </w:pPr>
            <w:r>
              <w:rPr>
                <w:sz w:val="18"/>
              </w:rPr>
            </w:r>
          </w:p>
        </w:tc>
        <w:tc>
          <w:tcPr>
            <w:tcW w:w="2563"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60"/>
              <w:rPr/>
            </w:pPr>
            <w:r>
              <w:rPr>
                <w:b/>
                <w:sz w:val="18"/>
              </w:rPr>
              <w:t>11.</w:t>
            </w:r>
            <w:r>
              <w:rPr>
                <w:sz w:val="18"/>
              </w:rPr>
              <w:t xml:space="preserve">  No proposal</w:t>
            </w:r>
          </w:p>
        </w:tc>
        <w:tc>
          <w:tcPr>
            <w:tcW w:w="2565" w:type="dxa"/>
            <w:tcBorders>
              <w:start w:val="single" w:sz="4" w:space="0" w:color="000000"/>
              <w:bottom w:val="single" w:sz="4" w:space="0" w:color="000000"/>
              <w:end w:val="single" w:sz="4" w:space="0" w:color="000000"/>
            </w:tcBorders>
          </w:tcPr>
          <w:p>
            <w:pPr>
              <w:pStyle w:val="Normal"/>
              <w:widowControl w:val="false"/>
              <w:spacing w:before="60" w:after="60"/>
              <w:rPr/>
            </w:pPr>
            <w:r>
              <w:rPr>
                <w:b/>
                <w:sz w:val="18"/>
              </w:rPr>
              <w:t>11.</w:t>
            </w:r>
            <w:r>
              <w:rPr>
                <w:sz w:val="18"/>
              </w:rPr>
              <w:t xml:space="preserve">  Entering into a transaction or an agreement between the Transco and Shareholders, or any of their affiliates.</w:t>
            </w:r>
          </w:p>
        </w:tc>
        <w:tc>
          <w:tcPr>
            <w:tcW w:w="2971" w:type="dxa"/>
            <w:tcBorders>
              <w:start w:val="single" w:sz="4" w:space="0" w:color="000000"/>
              <w:bottom w:val="single" w:sz="4" w:space="0" w:color="000000"/>
              <w:end w:val="single" w:sz="4" w:space="0" w:color="000000"/>
            </w:tcBorders>
          </w:tcPr>
          <w:p>
            <w:pPr>
              <w:pStyle w:val="Normal"/>
              <w:widowControl w:val="false"/>
              <w:spacing w:before="60" w:after="60"/>
              <w:rPr>
                <w:sz w:val="18"/>
              </w:rPr>
            </w:pPr>
            <w:r>
              <w:rPr>
                <w:sz w:val="18"/>
                <w:u w:val="single"/>
              </w:rPr>
              <w:t>Alliance Order</w:t>
            </w:r>
            <w:r>
              <w:rPr>
                <w:sz w:val="18"/>
              </w:rPr>
              <w:t>: In considering the Alliance ISO proposal, FERC directs that “before the Alliance ISO may hire a transmission owner or any other market participant to act as an agent of the Alliance ISO, the position must be competitively bid and open to all eligible market participants.”</w:t>
            </w:r>
            <w:r>
              <w:rPr>
                <w:rStyle w:val="FootnoteCharacters"/>
                <w:rStyle w:val="FootnoteReference"/>
                <w:sz w:val="18"/>
              </w:rPr>
              <w:footnoteReference w:id="27"/>
            </w:r>
          </w:p>
          <w:p>
            <w:pPr>
              <w:pStyle w:val="Normal"/>
              <w:widowControl w:val="false"/>
              <w:spacing w:before="60" w:after="60"/>
              <w:rPr>
                <w:sz w:val="18"/>
              </w:rPr>
            </w:pPr>
            <w:r>
              <w:rPr>
                <w:sz w:val="18"/>
              </w:rPr>
              <w:t>FERC also applied ISO Principle No. 7 to require the Alliance ISO to engage in “competitive bidding for any contracting function.”</w:t>
            </w:r>
            <w:r>
              <w:rPr>
                <w:rStyle w:val="FootnoteCharacters"/>
                <w:sz w:val="18"/>
              </w:rPr>
              <w:t xml:space="preserve"> </w:t>
            </w:r>
            <w:r>
              <w:rPr>
                <w:rStyle w:val="FootnoteCharacters"/>
                <w:rStyle w:val="FootnoteReference"/>
                <w:sz w:val="18"/>
              </w:rPr>
              <w:footnoteReference w:id="28"/>
            </w:r>
          </w:p>
          <w:p>
            <w:pPr>
              <w:pStyle w:val="Normal"/>
              <w:widowControl w:val="false"/>
              <w:spacing w:before="60" w:after="60"/>
              <w:rPr>
                <w:sz w:val="18"/>
              </w:rPr>
            </w:pPr>
            <w:r>
              <w:rPr>
                <w:sz w:val="18"/>
                <w:u w:val="single"/>
              </w:rPr>
              <w:t>Order No. 2000</w:t>
            </w:r>
            <w:r>
              <w:rPr>
                <w:sz w:val="18"/>
              </w:rPr>
              <w:t>:  One factor in evaluating the independence of the RTO from passive owners is whether the passive owners or their employees will provide any services to the RTO.</w:t>
            </w:r>
            <w:r>
              <w:rPr>
                <w:rStyle w:val="FootnoteCharacters"/>
                <w:rStyle w:val="FootnoteReference"/>
                <w:sz w:val="18"/>
              </w:rPr>
              <w:footnoteReference w:id="29"/>
            </w:r>
          </w:p>
        </w:tc>
        <w:tc>
          <w:tcPr>
            <w:tcW w:w="3149" w:type="dxa"/>
            <w:tcBorders>
              <w:start w:val="single" w:sz="4" w:space="0" w:color="000000"/>
              <w:bottom w:val="single" w:sz="4" w:space="0" w:color="000000"/>
              <w:end w:val="single" w:sz="4" w:space="0" w:color="000000"/>
            </w:tcBorders>
          </w:tcPr>
          <w:p>
            <w:pPr>
              <w:pStyle w:val="Normal"/>
              <w:widowControl w:val="false"/>
              <w:spacing w:before="60" w:after="60"/>
              <w:rPr>
                <w:sz w:val="18"/>
              </w:rPr>
            </w:pPr>
            <w:r>
              <w:rPr>
                <w:sz w:val="18"/>
              </w:rPr>
              <w:t>The FERC is likely to require competitive bidding for transactions with affiliates.  Therefore, the FERC is not likely to object to the passive owners voting on contracts with other passive owners.</w:t>
            </w:r>
          </w:p>
          <w:p>
            <w:pPr>
              <w:pStyle w:val="Normal"/>
              <w:widowControl w:val="false"/>
              <w:spacing w:before="60" w:after="60"/>
              <w:rPr>
                <w:sz w:val="18"/>
              </w:rPr>
            </w:pPr>
            <w:r>
              <w:rPr>
                <w:sz w:val="18"/>
              </w:rPr>
              <w:t>FERC is not likely to require a for-profit Transco to engage in competitive bidding generally.  ISO Principle No. 7 was intended to give not-for-profit ISOs incentive to be efficient.  For-profit Transcos do not need this incentive.</w:t>
            </w:r>
          </w:p>
          <w:p>
            <w:pPr>
              <w:pStyle w:val="Normal"/>
              <w:widowControl w:val="false"/>
              <w:spacing w:before="60" w:after="60"/>
              <w:rPr>
                <w:sz w:val="18"/>
              </w:rPr>
            </w:pPr>
            <w:r>
              <w:rPr>
                <w:sz w:val="18"/>
              </w:rPr>
              <w:t>For SEC purposes, these transactions should be priced at not more than cost.</w:t>
            </w:r>
          </w:p>
        </w:tc>
      </w:tr>
      <w:tr>
        <w:trPr/>
        <w:tc>
          <w:tcPr>
            <w:tcW w:w="2790" w:type="dxa"/>
            <w:tcBorders>
              <w:top w:val="single" w:sz="4" w:space="0" w:color="000000"/>
              <w:start w:val="single" w:sz="4" w:space="0" w:color="000000"/>
              <w:end w:val="single" w:sz="4" w:space="0" w:color="000000"/>
            </w:tcBorders>
          </w:tcPr>
          <w:p>
            <w:pPr>
              <w:pStyle w:val="Normal"/>
              <w:widowControl w:val="false"/>
              <w:snapToGrid w:val="false"/>
              <w:spacing w:before="60" w:after="60"/>
              <w:rPr>
                <w:sz w:val="18"/>
              </w:rPr>
            </w:pPr>
            <w:r>
              <w:rPr>
                <w:sz w:val="18"/>
              </w:rPr>
            </w:r>
          </w:p>
        </w:tc>
        <w:tc>
          <w:tcPr>
            <w:tcW w:w="2563" w:type="dxa"/>
            <w:tcBorders>
              <w:top w:val="single" w:sz="4" w:space="0" w:color="000000"/>
              <w:start w:val="single" w:sz="4" w:space="0" w:color="000000"/>
              <w:end w:val="single" w:sz="4" w:space="0" w:color="000000"/>
            </w:tcBorders>
          </w:tcPr>
          <w:p>
            <w:pPr>
              <w:pStyle w:val="Normal"/>
              <w:widowControl w:val="false"/>
              <w:spacing w:before="60" w:after="60"/>
              <w:rPr/>
            </w:pPr>
            <w:r>
              <w:rPr>
                <w:b/>
                <w:sz w:val="18"/>
              </w:rPr>
              <w:t>12.</w:t>
            </w:r>
            <w:r>
              <w:rPr>
                <w:sz w:val="18"/>
              </w:rPr>
              <w:t xml:space="preserve">  No proposal</w:t>
            </w:r>
          </w:p>
        </w:tc>
        <w:tc>
          <w:tcPr>
            <w:tcW w:w="2565" w:type="dxa"/>
            <w:tcBorders>
              <w:top w:val="single" w:sz="4" w:space="0" w:color="000000"/>
              <w:start w:val="single" w:sz="4" w:space="0" w:color="000000"/>
              <w:end w:val="single" w:sz="4" w:space="0" w:color="000000"/>
            </w:tcBorders>
          </w:tcPr>
          <w:p>
            <w:pPr>
              <w:pStyle w:val="Normal"/>
              <w:widowControl w:val="false"/>
              <w:spacing w:before="60" w:after="60"/>
              <w:rPr/>
            </w:pPr>
            <w:r>
              <w:rPr>
                <w:b/>
                <w:sz w:val="18"/>
              </w:rPr>
              <w:t>12.</w:t>
            </w:r>
            <w:r>
              <w:rPr>
                <w:sz w:val="18"/>
              </w:rPr>
              <w:t xml:space="preserve">  Amending a material government permit or seeking governmental action other than in the ordinary course of business</w:t>
            </w:r>
          </w:p>
        </w:tc>
        <w:tc>
          <w:tcPr>
            <w:tcW w:w="2971" w:type="dxa"/>
            <w:tcBorders>
              <w:top w:val="single" w:sz="4" w:space="0" w:color="000000"/>
              <w:start w:val="single" w:sz="4" w:space="0" w:color="000000"/>
              <w:end w:val="single" w:sz="4" w:space="0" w:color="000000"/>
            </w:tcBorders>
          </w:tcPr>
          <w:p>
            <w:pPr>
              <w:pStyle w:val="Normal"/>
              <w:widowControl w:val="false"/>
              <w:spacing w:before="60" w:after="60"/>
              <w:rPr/>
            </w:pPr>
            <w:r>
              <w:rPr>
                <w:sz w:val="18"/>
                <w:u w:val="single"/>
              </w:rPr>
              <w:t>Alliance Order</w:t>
            </w:r>
            <w:r>
              <w:rPr>
                <w:sz w:val="18"/>
              </w:rPr>
              <w:t>:  No discussion</w:t>
            </w:r>
          </w:p>
          <w:p>
            <w:pPr>
              <w:pStyle w:val="Normal"/>
              <w:widowControl w:val="false"/>
              <w:spacing w:before="60" w:after="60"/>
              <w:rPr>
                <w:sz w:val="18"/>
              </w:rPr>
            </w:pPr>
            <w:r>
              <w:rPr>
                <w:sz w:val="18"/>
                <w:u w:val="single"/>
              </w:rPr>
              <w:t>Order No. 2000</w:t>
            </w:r>
            <w:r>
              <w:rPr>
                <w:sz w:val="18"/>
              </w:rPr>
              <w:t>:  The RTO must have exclusive control over the administration of the RTO tariff.</w:t>
            </w:r>
            <w:r>
              <w:rPr>
                <w:rStyle w:val="FootnoteCharacters"/>
                <w:rStyle w:val="FootnoteReference"/>
                <w:sz w:val="18"/>
              </w:rPr>
              <w:footnoteReference w:id="30"/>
            </w:r>
          </w:p>
        </w:tc>
        <w:tc>
          <w:tcPr>
            <w:tcW w:w="3149" w:type="dxa"/>
            <w:tcBorders>
              <w:top w:val="single" w:sz="4" w:space="0" w:color="000000"/>
              <w:start w:val="single" w:sz="4" w:space="0" w:color="000000"/>
              <w:end w:val="single" w:sz="4" w:space="0" w:color="000000"/>
            </w:tcBorders>
          </w:tcPr>
          <w:p>
            <w:pPr>
              <w:pStyle w:val="Normal"/>
              <w:widowControl w:val="false"/>
              <w:spacing w:before="60" w:after="60"/>
              <w:rPr>
                <w:sz w:val="18"/>
              </w:rPr>
            </w:pPr>
            <w:r>
              <w:rPr>
                <w:sz w:val="18"/>
              </w:rPr>
              <w:t>The FERC is not likely to object to this right so long as changes to the RTO tariff are included in the  “ordinary course of business” exclusion.</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8"/>
              </w:rPr>
            </w:pPr>
            <w:r>
              <w:rPr>
                <w:sz w:val="18"/>
              </w:rPr>
            </w:r>
          </w:p>
        </w:tc>
        <w:tc>
          <w:tcPr>
            <w:tcW w:w="2563"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60"/>
              <w:rPr/>
            </w:pPr>
            <w:r>
              <w:rPr>
                <w:b/>
                <w:sz w:val="18"/>
              </w:rPr>
              <w:t>13.</w:t>
            </w:r>
            <w:r>
              <w:rPr>
                <w:sz w:val="18"/>
              </w:rPr>
              <w:t xml:space="preserve">  No proposal</w:t>
            </w:r>
          </w:p>
        </w:tc>
        <w:tc>
          <w:tcPr>
            <w:tcW w:w="2565"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60"/>
              <w:rPr/>
            </w:pPr>
            <w:r>
              <w:rPr>
                <w:b/>
                <w:sz w:val="18"/>
              </w:rPr>
              <w:t>13.</w:t>
            </w:r>
            <w:r>
              <w:rPr>
                <w:sz w:val="18"/>
              </w:rPr>
              <w:t xml:space="preserve">  Settling a dispute or initiating or settling litigation exceeding a predetermined, mutually agreeable threshold amount</w:t>
            </w:r>
          </w:p>
        </w:tc>
        <w:tc>
          <w:tcPr>
            <w:tcW w:w="2971"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60"/>
              <w:rPr>
                <w:sz w:val="18"/>
              </w:rPr>
            </w:pPr>
            <w:r>
              <w:rPr>
                <w:sz w:val="18"/>
              </w:rPr>
              <w:t>Neither the Alliance Order nor Order No. 2000 discuss this right.</w:t>
            </w:r>
          </w:p>
        </w:tc>
        <w:tc>
          <w:tcPr>
            <w:tcW w:w="3149"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60"/>
              <w:rPr>
                <w:sz w:val="18"/>
              </w:rPr>
            </w:pPr>
            <w:r>
              <w:rPr>
                <w:sz w:val="18"/>
              </w:rPr>
              <w:t>The FERC is not likely to object to this right so long as it does not interfere with the RTO’s ability to administer its tariff.</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60" w:after="60"/>
              <w:rPr>
                <w:b/>
                <w:sz w:val="18"/>
              </w:rPr>
            </w:pPr>
            <w:r>
              <w:rPr>
                <w:b/>
                <w:sz w:val="18"/>
              </w:rPr>
              <w:t>II.  Governance</w:t>
              <w:br/>
            </w:r>
            <w:r>
              <w:rPr>
                <w:sz w:val="18"/>
              </w:rPr>
              <w:t>(continued)</w:t>
            </w:r>
          </w:p>
        </w:tc>
        <w:tc>
          <w:tcPr>
            <w:tcW w:w="2563"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spacing w:before="60" w:after="60"/>
              <w:rPr>
                <w:b/>
                <w:sz w:val="18"/>
              </w:rPr>
            </w:pPr>
            <w:r>
              <w:rPr>
                <w:b/>
                <w:sz w:val="18"/>
              </w:rPr>
            </w:r>
          </w:p>
        </w:tc>
        <w:tc>
          <w:tcPr>
            <w:tcW w:w="2565"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60" w:after="60"/>
              <w:rPr>
                <w:b/>
                <w:sz w:val="18"/>
              </w:rPr>
            </w:pPr>
            <w:r>
              <w:rPr>
                <w:b/>
                <w:sz w:val="18"/>
              </w:rPr>
              <w:t xml:space="preserve">C.  Passive Ownership Rights Applicable to PipesCo </w:t>
            </w:r>
          </w:p>
          <w:p>
            <w:pPr>
              <w:pStyle w:val="Normal"/>
              <w:keepNext w:val="true"/>
              <w:keepLines/>
              <w:spacing w:before="60" w:after="60"/>
              <w:rPr>
                <w:sz w:val="18"/>
              </w:rPr>
            </w:pPr>
            <w:r>
              <w:rPr>
                <w:sz w:val="18"/>
              </w:rPr>
              <w:t>Passive Owners will have additional rights with respect to Transco actions affecting PipesCo.</w:t>
            </w:r>
          </w:p>
        </w:tc>
        <w:tc>
          <w:tcPr>
            <w:tcW w:w="297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600" w:after="60"/>
              <w:rPr/>
            </w:pPr>
            <w:r>
              <w:rPr>
                <w:sz w:val="18"/>
                <w:u w:val="single"/>
              </w:rPr>
              <w:t>Alliance Order</w:t>
            </w:r>
            <w:r>
              <w:rPr>
                <w:sz w:val="18"/>
              </w:rPr>
              <w:t>:  No discussion</w:t>
            </w:r>
          </w:p>
          <w:p>
            <w:pPr>
              <w:pStyle w:val="Normal"/>
              <w:keepNext w:val="true"/>
              <w:keepLines/>
              <w:spacing w:before="60" w:after="60"/>
              <w:rPr>
                <w:sz w:val="18"/>
                <w:u w:val="single"/>
              </w:rPr>
            </w:pPr>
            <w:r>
              <w:rPr>
                <w:sz w:val="18"/>
                <w:u w:val="single"/>
              </w:rPr>
              <w:t>Order No. 2000</w:t>
            </w:r>
            <w:r>
              <w:rPr>
                <w:sz w:val="18"/>
              </w:rPr>
              <w:t>:  No discussion</w:t>
            </w:r>
          </w:p>
        </w:tc>
        <w:tc>
          <w:tcPr>
            <w:tcW w:w="3149"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600" w:after="60"/>
              <w:rPr>
                <w:sz w:val="18"/>
              </w:rPr>
            </w:pPr>
            <w:r>
              <w:rPr>
                <w:sz w:val="18"/>
              </w:rPr>
              <w:t xml:space="preserve">FERC has not considered RTO governance of non-power transmission businesses.  FERC’s premise for requiring RTO independence from market participants is concern over undue discrimination towards affiliated generation.  FERC has similar concerns with pipes and affiliated marketing but has not required pipes to be governed independently from market participants, relying instead on behavioral restrictions (Order No. 497).  So long as FERC is assured that passive owner control over pipes is not a means of indirectly controlling WiresCo or Transco, there does not appear to be a reason for FERC to change direction and require the pipes to be governed the same as the wires.  </w:t>
            </w:r>
          </w:p>
          <w:p>
            <w:pPr>
              <w:pStyle w:val="Normal"/>
              <w:keepNext w:val="true"/>
              <w:keepLines/>
              <w:spacing w:before="60" w:after="60"/>
              <w:rPr>
                <w:sz w:val="18"/>
              </w:rPr>
            </w:pPr>
            <w:r>
              <w:rPr>
                <w:sz w:val="18"/>
              </w:rPr>
              <w:t xml:space="preserve">Indirect control of WiresCo by passive owners through control of PipesCo will also be a concern of SEC.  </w:t>
            </w:r>
          </w:p>
        </w:tc>
      </w:tr>
      <w:tr>
        <w:trPr/>
        <w:tc>
          <w:tcPr>
            <w:tcW w:w="2790" w:type="dxa"/>
            <w:tcBorders>
              <w:top w:val="single" w:sz="4" w:space="0" w:color="000000"/>
              <w:start w:val="single" w:sz="4" w:space="0" w:color="000000"/>
              <w:end w:val="single" w:sz="4" w:space="0" w:color="000000"/>
            </w:tcBorders>
          </w:tcPr>
          <w:p>
            <w:pPr>
              <w:pStyle w:val="Normal"/>
              <w:snapToGrid w:val="false"/>
              <w:spacing w:before="60" w:after="60"/>
              <w:rPr>
                <w:b/>
                <w:sz w:val="18"/>
              </w:rPr>
            </w:pPr>
            <w:r>
              <w:rPr>
                <w:b/>
                <w:sz w:val="18"/>
              </w:rPr>
            </w:r>
          </w:p>
        </w:tc>
        <w:tc>
          <w:tcPr>
            <w:tcW w:w="2563" w:type="dxa"/>
            <w:tcBorders>
              <w:top w:val="single" w:sz="4" w:space="0" w:color="000000"/>
              <w:start w:val="single" w:sz="4" w:space="0" w:color="000000"/>
              <w:end w:val="single" w:sz="4" w:space="0" w:color="000000"/>
            </w:tcBorders>
          </w:tcPr>
          <w:p>
            <w:pPr>
              <w:pStyle w:val="Normal"/>
              <w:snapToGrid w:val="false"/>
              <w:spacing w:before="60" w:after="60"/>
              <w:rPr>
                <w:b/>
                <w:sz w:val="18"/>
              </w:rPr>
            </w:pPr>
            <w:r>
              <w:rPr>
                <w:b/>
                <w:sz w:val="18"/>
              </w:rPr>
            </w:r>
          </w:p>
        </w:tc>
        <w:tc>
          <w:tcPr>
            <w:tcW w:w="2565" w:type="dxa"/>
            <w:tcBorders>
              <w:top w:val="single" w:sz="4" w:space="0" w:color="000000"/>
              <w:start w:val="single" w:sz="4" w:space="0" w:color="000000"/>
              <w:end w:val="single" w:sz="4" w:space="0" w:color="000000"/>
            </w:tcBorders>
          </w:tcPr>
          <w:p>
            <w:pPr>
              <w:pStyle w:val="Normal"/>
              <w:spacing w:before="60" w:after="60"/>
              <w:rPr>
                <w:b/>
                <w:sz w:val="18"/>
              </w:rPr>
            </w:pPr>
            <w:r>
              <w:rPr>
                <w:b/>
                <w:sz w:val="18"/>
              </w:rPr>
              <w:t>1.</w:t>
            </w:r>
            <w:r>
              <w:rPr>
                <w:sz w:val="18"/>
              </w:rPr>
              <w:t xml:space="preserve">  Passive Owners must consent to selection of the Board of PipesCo.</w:t>
            </w:r>
          </w:p>
        </w:tc>
        <w:tc>
          <w:tcPr>
            <w:tcW w:w="2971" w:type="dxa"/>
            <w:tcBorders>
              <w:top w:val="single" w:sz="4" w:space="0" w:color="000000"/>
              <w:start w:val="single" w:sz="4" w:space="0" w:color="000000"/>
              <w:end w:val="single" w:sz="4" w:space="0" w:color="000000"/>
            </w:tcBorders>
          </w:tcPr>
          <w:p>
            <w:pPr>
              <w:pStyle w:val="Normal"/>
              <w:spacing w:before="60" w:after="60"/>
              <w:rPr/>
            </w:pPr>
            <w:r>
              <w:rPr>
                <w:sz w:val="18"/>
                <w:u w:val="single"/>
              </w:rPr>
              <w:t>Alliance Order</w:t>
            </w:r>
            <w:r>
              <w:rPr>
                <w:sz w:val="18"/>
              </w:rPr>
              <w:t>:  No discussion</w:t>
            </w:r>
          </w:p>
          <w:p>
            <w:pPr>
              <w:pStyle w:val="Normal"/>
              <w:spacing w:before="60" w:after="60"/>
              <w:rPr>
                <w:sz w:val="18"/>
                <w:u w:val="single"/>
              </w:rPr>
            </w:pPr>
            <w:r>
              <w:rPr>
                <w:sz w:val="18"/>
                <w:u w:val="single"/>
              </w:rPr>
              <w:t>Order No. 2000</w:t>
            </w:r>
            <w:r>
              <w:rPr>
                <w:sz w:val="18"/>
              </w:rPr>
              <w:t>:  No discussion</w:t>
            </w:r>
          </w:p>
        </w:tc>
        <w:tc>
          <w:tcPr>
            <w:tcW w:w="3149" w:type="dxa"/>
            <w:tcBorders>
              <w:top w:val="single" w:sz="4" w:space="0" w:color="000000"/>
              <w:start w:val="single" w:sz="4" w:space="0" w:color="000000"/>
              <w:end w:val="single" w:sz="4" w:space="0" w:color="000000"/>
            </w:tcBorders>
          </w:tcPr>
          <w:p>
            <w:pPr>
              <w:pStyle w:val="Normal"/>
              <w:spacing w:before="60" w:after="60"/>
              <w:rPr>
                <w:sz w:val="18"/>
              </w:rPr>
            </w:pPr>
            <w:r>
              <w:rPr>
                <w:sz w:val="18"/>
              </w:rPr>
              <w:t>Giving passive owners the veto rights over PipesCo Board selection does not appear to give passive owners the ability to control Transco or WiresCo.</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b/>
                <w:sz w:val="18"/>
              </w:rPr>
            </w:pPr>
            <w:r>
              <w:rPr>
                <w:b/>
                <w:sz w:val="18"/>
              </w:rPr>
            </w:r>
          </w:p>
        </w:tc>
        <w:tc>
          <w:tcPr>
            <w:tcW w:w="2563"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b/>
                <w:sz w:val="18"/>
              </w:rPr>
            </w:pPr>
            <w:r>
              <w:rPr>
                <w:b/>
                <w:sz w:val="18"/>
              </w:rPr>
            </w:r>
          </w:p>
        </w:tc>
        <w:tc>
          <w:tcPr>
            <w:tcW w:w="2565" w:type="dxa"/>
            <w:tcBorders>
              <w:top w:val="single" w:sz="4" w:space="0" w:color="000000"/>
              <w:start w:val="single" w:sz="4" w:space="0" w:color="000000"/>
              <w:bottom w:val="single" w:sz="4" w:space="0" w:color="000000"/>
              <w:end w:val="single" w:sz="4" w:space="0" w:color="000000"/>
            </w:tcBorders>
          </w:tcPr>
          <w:p>
            <w:pPr>
              <w:pStyle w:val="Normal"/>
              <w:spacing w:before="60" w:after="60"/>
              <w:rPr/>
            </w:pPr>
            <w:r>
              <w:rPr>
                <w:b/>
                <w:sz w:val="18"/>
              </w:rPr>
              <w:t>2.</w:t>
            </w:r>
            <w:r>
              <w:rPr>
                <w:sz w:val="18"/>
              </w:rPr>
              <w:t xml:space="preserve">  Passive Owners must consent to removal of the Board of PipesCo.</w:t>
            </w:r>
          </w:p>
        </w:tc>
        <w:tc>
          <w:tcPr>
            <w:tcW w:w="2971" w:type="dxa"/>
            <w:tcBorders>
              <w:top w:val="single" w:sz="4" w:space="0" w:color="000000"/>
              <w:start w:val="single" w:sz="4" w:space="0" w:color="000000"/>
              <w:bottom w:val="single" w:sz="4" w:space="0" w:color="000000"/>
              <w:end w:val="single" w:sz="4" w:space="0" w:color="000000"/>
            </w:tcBorders>
          </w:tcPr>
          <w:p>
            <w:pPr>
              <w:pStyle w:val="Normal"/>
              <w:spacing w:before="60" w:after="60"/>
              <w:rPr/>
            </w:pPr>
            <w:r>
              <w:rPr>
                <w:sz w:val="18"/>
                <w:u w:val="single"/>
              </w:rPr>
              <w:t>Alliance Order</w:t>
            </w:r>
            <w:r>
              <w:rPr>
                <w:sz w:val="18"/>
              </w:rPr>
              <w:t>:  No discussion</w:t>
            </w:r>
          </w:p>
          <w:p>
            <w:pPr>
              <w:pStyle w:val="Normal"/>
              <w:spacing w:before="60" w:after="60"/>
              <w:rPr>
                <w:sz w:val="18"/>
                <w:u w:val="single"/>
              </w:rPr>
            </w:pPr>
            <w:r>
              <w:rPr>
                <w:sz w:val="18"/>
                <w:u w:val="single"/>
              </w:rPr>
              <w:t>Order No. 2000</w:t>
            </w:r>
            <w:r>
              <w:rPr>
                <w:sz w:val="18"/>
              </w:rPr>
              <w:t>:  No discussion</w:t>
            </w:r>
          </w:p>
        </w:tc>
        <w:tc>
          <w:tcPr>
            <w:tcW w:w="3149" w:type="dxa"/>
            <w:tcBorders>
              <w:top w:val="single" w:sz="4" w:space="0" w:color="000000"/>
              <w:start w:val="single" w:sz="4" w:space="0" w:color="000000"/>
              <w:bottom w:val="single" w:sz="4" w:space="0" w:color="000000"/>
              <w:end w:val="single" w:sz="4" w:space="0" w:color="000000"/>
            </w:tcBorders>
          </w:tcPr>
          <w:p>
            <w:pPr>
              <w:pStyle w:val="Normal"/>
              <w:spacing w:before="60" w:after="60"/>
              <w:rPr>
                <w:sz w:val="18"/>
              </w:rPr>
            </w:pPr>
            <w:r>
              <w:rPr>
                <w:sz w:val="18"/>
              </w:rPr>
              <w:t>Giving passive owners veto rights over removal of PipesCo Board does not appear to give passive owners ability to control Transco or WiresCo.</w:t>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keepNext w:val="true"/>
              <w:keepLines/>
              <w:widowControl w:val="false"/>
              <w:spacing w:before="60" w:after="60"/>
              <w:rPr>
                <w:b/>
                <w:sz w:val="18"/>
              </w:rPr>
            </w:pPr>
            <w:r>
              <w:rPr>
                <w:b/>
                <w:sz w:val="18"/>
              </w:rPr>
              <w:t>III.  Shareholder Control of Board selection, election and removal</w:t>
            </w:r>
          </w:p>
        </w:tc>
        <w:tc>
          <w:tcPr>
            <w:tcW w:w="2563" w:type="dxa"/>
            <w:tcBorders>
              <w:top w:val="single" w:sz="4" w:space="0" w:color="000000"/>
              <w:start w:val="single" w:sz="4" w:space="0" w:color="000000"/>
              <w:bottom w:val="single" w:sz="4" w:space="0" w:color="000000"/>
              <w:end w:val="single" w:sz="4" w:space="0" w:color="000000"/>
            </w:tcBorders>
          </w:tcPr>
          <w:p>
            <w:pPr>
              <w:pStyle w:val="Normal"/>
              <w:keepNext w:val="true"/>
              <w:keepLines/>
              <w:widowControl w:val="false"/>
              <w:spacing w:before="60" w:after="60"/>
              <w:rPr>
                <w:sz w:val="18"/>
              </w:rPr>
            </w:pPr>
            <w:r>
              <w:rPr>
                <w:sz w:val="18"/>
              </w:rPr>
              <w:t>No right to discharge Managing Member (Alliance Publico).  But if control of managing member changes, passive owners have put right to managing member.</w:t>
            </w:r>
          </w:p>
        </w:tc>
        <w:tc>
          <w:tcPr>
            <w:tcW w:w="2565" w:type="dxa"/>
            <w:tcBorders>
              <w:top w:val="single" w:sz="4" w:space="0" w:color="000000"/>
              <w:start w:val="single" w:sz="4" w:space="0" w:color="000000"/>
              <w:bottom w:val="single" w:sz="4" w:space="0" w:color="000000"/>
              <w:end w:val="single" w:sz="4" w:space="0" w:color="000000"/>
            </w:tcBorders>
          </w:tcPr>
          <w:p>
            <w:pPr>
              <w:pStyle w:val="Normal"/>
              <w:keepNext w:val="true"/>
              <w:keepLines/>
              <w:widowControl w:val="false"/>
              <w:spacing w:before="60" w:after="60"/>
              <w:rPr>
                <w:sz w:val="18"/>
              </w:rPr>
            </w:pPr>
            <w:r>
              <w:rPr>
                <w:sz w:val="18"/>
              </w:rPr>
              <w:t>Stakeholder committee (including passive owners of Transco) will select Board of SPV.  SPV Board will be self-perpetuating.  SPV (85% voting interest) and Enron/Alliance (15% voting interest) will select Board of Transco.</w:t>
            </w:r>
          </w:p>
          <w:p>
            <w:pPr>
              <w:pStyle w:val="Normal"/>
              <w:keepNext w:val="true"/>
              <w:keepLines/>
              <w:widowControl w:val="false"/>
              <w:spacing w:before="60" w:after="60"/>
              <w:rPr>
                <w:b/>
                <w:sz w:val="18"/>
              </w:rPr>
            </w:pPr>
            <w:r>
              <w:rPr>
                <w:sz w:val="18"/>
              </w:rPr>
              <w:t xml:space="preserve">Transco Board will select Boards of PipesCo and WiresCo.  Selection and removal of PipesCo Board is subject to passive owner consent.  Removal of Transco Board will be by majority vote of active owners. </w:t>
            </w:r>
          </w:p>
          <w:p>
            <w:pPr>
              <w:pStyle w:val="Normal"/>
              <w:keepNext w:val="true"/>
              <w:keepLines/>
              <w:widowControl w:val="false"/>
              <w:spacing w:before="60" w:after="60"/>
              <w:rPr>
                <w:b/>
                <w:sz w:val="18"/>
              </w:rPr>
            </w:pPr>
            <w:r>
              <w:rPr>
                <w:b/>
                <w:sz w:val="18"/>
              </w:rPr>
            </w:r>
          </w:p>
        </w:tc>
        <w:tc>
          <w:tcPr>
            <w:tcW w:w="2971" w:type="dxa"/>
            <w:tcBorders>
              <w:top w:val="single" w:sz="4" w:space="0" w:color="000000"/>
              <w:start w:val="single" w:sz="4" w:space="0" w:color="000000"/>
              <w:bottom w:val="single" w:sz="4" w:space="0" w:color="000000"/>
              <w:end w:val="single" w:sz="4" w:space="0" w:color="000000"/>
            </w:tcBorders>
          </w:tcPr>
          <w:p>
            <w:pPr>
              <w:pStyle w:val="Normal"/>
              <w:keepNext w:val="true"/>
              <w:keepLines/>
              <w:widowControl w:val="false"/>
              <w:spacing w:before="60" w:after="60"/>
              <w:rPr/>
            </w:pPr>
            <w:r>
              <w:rPr>
                <w:sz w:val="18"/>
                <w:u w:val="single"/>
              </w:rPr>
              <w:t>Alliance Order</w:t>
            </w:r>
            <w:r>
              <w:rPr>
                <w:sz w:val="18"/>
              </w:rPr>
              <w:t>: FERC did not discuss Managing Member Board selection/removal.  In considering Alliance ISO proposal, FERC directs that transmission owners may elect a “caretaker” board to be in charge until the ISO members are selected.  The permanent board will be elected by full membership of the ISO, not just the transmission owners.</w:t>
            </w:r>
            <w:r>
              <w:rPr>
                <w:rStyle w:val="FootnoteCharacters"/>
                <w:rStyle w:val="FootnoteReference"/>
                <w:sz w:val="18"/>
              </w:rPr>
              <w:footnoteReference w:id="31"/>
            </w:r>
            <w:r>
              <w:rPr>
                <w:sz w:val="18"/>
              </w:rPr>
              <w:t xml:space="preserve">  FERC does not discuss Publico’s board selection.</w:t>
            </w:r>
          </w:p>
          <w:p>
            <w:pPr>
              <w:pStyle w:val="Normal"/>
              <w:keepNext w:val="true"/>
              <w:keepLines/>
              <w:widowControl w:val="false"/>
              <w:spacing w:before="60" w:after="60"/>
              <w:rPr>
                <w:sz w:val="18"/>
              </w:rPr>
            </w:pPr>
            <w:r>
              <w:rPr>
                <w:sz w:val="18"/>
                <w:u w:val="single"/>
              </w:rPr>
              <w:t>Order No. 2000</w:t>
            </w:r>
            <w:r>
              <w:rPr>
                <w:sz w:val="18"/>
              </w:rPr>
              <w:t>: In order to evaluate the independence of a proposed RTO, the Commission requires information on “the extent of control by passive owners over board selection and removal.</w:t>
            </w:r>
            <w:r>
              <w:rPr>
                <w:rStyle w:val="FootnoteCharacters"/>
                <w:rStyle w:val="FootnoteReference"/>
                <w:sz w:val="18"/>
              </w:rPr>
              <w:footnoteReference w:id="32"/>
            </w:r>
          </w:p>
          <w:p>
            <w:pPr>
              <w:pStyle w:val="Normal"/>
              <w:keepNext w:val="true"/>
              <w:keepLines/>
              <w:widowControl w:val="false"/>
              <w:spacing w:before="60" w:after="60"/>
              <w:rPr>
                <w:sz w:val="18"/>
              </w:rPr>
            </w:pPr>
            <w:r>
              <w:rPr>
                <w:sz w:val="18"/>
                <w:u w:val="single"/>
              </w:rPr>
              <w:t>Entergy</w:t>
            </w:r>
            <w:r>
              <w:rPr>
                <w:sz w:val="18"/>
              </w:rPr>
              <w:t>: (1) board selection by members unacceptable, but by stakeholder committee acceptable; (2) ability of members to remove directors (absent a showing of cause) unacceptable.</w:t>
            </w:r>
            <w:r>
              <w:rPr>
                <w:rStyle w:val="FootnoteCharacters"/>
                <w:rStyle w:val="FootnoteReference"/>
                <w:sz w:val="18"/>
              </w:rPr>
              <w:footnoteReference w:id="33"/>
            </w:r>
          </w:p>
        </w:tc>
        <w:tc>
          <w:tcPr>
            <w:tcW w:w="3149" w:type="dxa"/>
            <w:tcBorders>
              <w:top w:val="single" w:sz="4" w:space="0" w:color="000000"/>
              <w:start w:val="single" w:sz="4" w:space="0" w:color="000000"/>
              <w:bottom w:val="single" w:sz="4" w:space="0" w:color="000000"/>
              <w:end w:val="single" w:sz="4" w:space="0" w:color="000000"/>
            </w:tcBorders>
          </w:tcPr>
          <w:p>
            <w:pPr>
              <w:pStyle w:val="Normal"/>
              <w:keepNext w:val="true"/>
              <w:keepLines/>
              <w:widowControl w:val="false"/>
              <w:spacing w:before="60" w:after="60"/>
              <w:rPr>
                <w:sz w:val="18"/>
              </w:rPr>
            </w:pPr>
            <w:r>
              <w:rPr>
                <w:sz w:val="18"/>
              </w:rPr>
              <w:t>SPV Board selection by a stakeholder committee should be acceptable.  The Entergy proposal also included a self-perpetuating Board.  Although FERC did not discuss this aspect of the proposal, a self-perpetuating Board should be acceptable.  Inclusion of passive owners in stakeholder committee should be acceptable.</w:t>
            </w:r>
            <w:r>
              <w:rPr>
                <w:rStyle w:val="FootnoteCharacters"/>
                <w:sz w:val="18"/>
              </w:rPr>
              <w:t xml:space="preserve"> </w:t>
            </w:r>
            <w:r>
              <w:rPr>
                <w:rStyle w:val="FootnoteCharacters"/>
                <w:rStyle w:val="FootnoteReference"/>
                <w:sz w:val="18"/>
              </w:rPr>
              <w:footnoteReference w:id="34"/>
            </w:r>
          </w:p>
          <w:p>
            <w:pPr>
              <w:pStyle w:val="Normal"/>
              <w:keepNext w:val="true"/>
              <w:keepLines/>
              <w:widowControl w:val="false"/>
              <w:spacing w:before="60" w:after="60"/>
              <w:rPr>
                <w:sz w:val="18"/>
              </w:rPr>
            </w:pPr>
            <w:r>
              <w:rPr>
                <w:sz w:val="18"/>
              </w:rPr>
              <w:t>Obtaining FERC approval for direct participation by the passive owners in the selection of Transco board will be difficult, especially if they also have active voting rights.</w:t>
            </w:r>
          </w:p>
          <w:p>
            <w:pPr>
              <w:pStyle w:val="Normal"/>
              <w:keepNext w:val="true"/>
              <w:keepLines/>
              <w:widowControl w:val="false"/>
              <w:spacing w:before="60" w:after="60"/>
              <w:rPr>
                <w:sz w:val="18"/>
              </w:rPr>
            </w:pPr>
            <w:r>
              <w:rPr>
                <w:sz w:val="18"/>
              </w:rPr>
            </w:r>
          </w:p>
        </w:tc>
      </w:tr>
      <w:tr>
        <w:trPr/>
        <w:tc>
          <w:tcPr>
            <w:tcW w:w="2790" w:type="dxa"/>
            <w:tcBorders>
              <w:start w:val="single" w:sz="4" w:space="0" w:color="000000"/>
              <w:end w:val="single" w:sz="4" w:space="0" w:color="000000"/>
            </w:tcBorders>
          </w:tcPr>
          <w:p>
            <w:pPr>
              <w:pStyle w:val="Normal"/>
              <w:spacing w:before="60" w:after="60"/>
              <w:rPr>
                <w:b/>
                <w:sz w:val="18"/>
              </w:rPr>
            </w:pPr>
            <w:r>
              <w:rPr>
                <w:b/>
                <w:sz w:val="18"/>
              </w:rPr>
              <w:t>IV.  Retained economic ties with former employers</w:t>
            </w:r>
          </w:p>
        </w:tc>
        <w:tc>
          <w:tcPr>
            <w:tcW w:w="2563" w:type="dxa"/>
            <w:tcBorders>
              <w:start w:val="single" w:sz="4" w:space="0" w:color="000000"/>
              <w:end w:val="single" w:sz="4" w:space="0" w:color="000000"/>
            </w:tcBorders>
          </w:tcPr>
          <w:p>
            <w:pPr>
              <w:pStyle w:val="Normal"/>
              <w:spacing w:before="60" w:after="60"/>
              <w:rPr>
                <w:sz w:val="18"/>
              </w:rPr>
            </w:pPr>
            <w:r>
              <w:rPr>
                <w:sz w:val="18"/>
              </w:rPr>
              <w:t>Employees (and Directors, agents and Officers) of the Alliance ISO must dispose of any securities in a market participant within 6 months of employment with the ISO.</w:t>
            </w:r>
            <w:r>
              <w:rPr>
                <w:rStyle w:val="FootnoteCharacters"/>
                <w:rStyle w:val="FootnoteReference"/>
                <w:sz w:val="18"/>
              </w:rPr>
              <w:footnoteReference w:id="35"/>
            </w:r>
          </w:p>
        </w:tc>
        <w:tc>
          <w:tcPr>
            <w:tcW w:w="2565" w:type="dxa"/>
            <w:tcBorders>
              <w:start w:val="single" w:sz="4" w:space="0" w:color="000000"/>
              <w:end w:val="single" w:sz="4" w:space="0" w:color="000000"/>
            </w:tcBorders>
          </w:tcPr>
          <w:p>
            <w:pPr>
              <w:pStyle w:val="Normal"/>
              <w:spacing w:before="60" w:after="60"/>
              <w:rPr>
                <w:sz w:val="18"/>
              </w:rPr>
            </w:pPr>
            <w:r>
              <w:rPr>
                <w:sz w:val="18"/>
              </w:rPr>
              <w:t>Enron proposal questions whether independence requires a complete and total severance of all financial ties particularly as it relates to ESOPs, 401ks and retirement/pension plans.</w:t>
            </w:r>
          </w:p>
        </w:tc>
        <w:tc>
          <w:tcPr>
            <w:tcW w:w="2971" w:type="dxa"/>
            <w:tcBorders>
              <w:start w:val="single" w:sz="4" w:space="0" w:color="000000"/>
              <w:end w:val="single" w:sz="4" w:space="0" w:color="000000"/>
            </w:tcBorders>
          </w:tcPr>
          <w:p>
            <w:pPr>
              <w:pStyle w:val="Normal"/>
              <w:spacing w:before="60" w:after="60"/>
              <w:rPr>
                <w:sz w:val="18"/>
              </w:rPr>
            </w:pPr>
            <w:r>
              <w:rPr>
                <w:sz w:val="18"/>
                <w:u w:val="single"/>
              </w:rPr>
              <w:t>Alliance Order</w:t>
            </w:r>
            <w:r>
              <w:rPr>
                <w:sz w:val="18"/>
              </w:rPr>
              <w:t>: FERC accepted Alliance’s financial interest restrictions as proposed, which are largely modeled after Midwest ISO.</w:t>
            </w:r>
            <w:r>
              <w:rPr>
                <w:rStyle w:val="FootnoteCharacters"/>
                <w:rStyle w:val="FootnoteReference"/>
                <w:sz w:val="18"/>
              </w:rPr>
              <w:footnoteReference w:id="36"/>
            </w:r>
          </w:p>
          <w:p>
            <w:pPr>
              <w:pStyle w:val="Normal"/>
              <w:spacing w:before="60" w:after="60"/>
              <w:rPr>
                <w:sz w:val="18"/>
              </w:rPr>
            </w:pPr>
            <w:r>
              <w:rPr>
                <w:sz w:val="18"/>
                <w:u w:val="single"/>
              </w:rPr>
              <w:t>Order No.  2000</w:t>
            </w:r>
            <w:r>
              <w:rPr>
                <w:sz w:val="18"/>
              </w:rPr>
              <w:t>: RTO employees and non-stakeholder directors may not have any financial interests in market participants.  This principle will implement its policy on a case-by-case basis because it raises a number of issues, especially with respect to pension rights and benefits.</w:t>
            </w:r>
            <w:r>
              <w:rPr>
                <w:rStyle w:val="FootnoteCharacters"/>
                <w:rStyle w:val="FootnoteReference"/>
                <w:sz w:val="18"/>
              </w:rPr>
              <w:footnoteReference w:id="37"/>
            </w:r>
          </w:p>
        </w:tc>
        <w:tc>
          <w:tcPr>
            <w:tcW w:w="3149" w:type="dxa"/>
            <w:tcBorders>
              <w:start w:val="single" w:sz="4" w:space="0" w:color="000000"/>
              <w:end w:val="single" w:sz="4" w:space="0" w:color="000000"/>
            </w:tcBorders>
          </w:tcPr>
          <w:p>
            <w:pPr>
              <w:pStyle w:val="Normal"/>
              <w:spacing w:before="60" w:after="60"/>
              <w:rPr>
                <w:sz w:val="18"/>
              </w:rPr>
            </w:pPr>
            <w:r>
              <w:rPr>
                <w:sz w:val="18"/>
              </w:rPr>
              <w:t xml:space="preserve">FERC has not discussed 401(k) and ESOP plans.  But these should, in principle, be treated the same as defined-benefit pension plans. </w:t>
            </w:r>
          </w:p>
          <w:p>
            <w:pPr>
              <w:pStyle w:val="Normal"/>
              <w:spacing w:before="60" w:after="60"/>
              <w:rPr>
                <w:sz w:val="18"/>
              </w:rPr>
            </w:pPr>
            <w:r>
              <w:rPr>
                <w:sz w:val="18"/>
              </w:rPr>
              <w:t>There are strong arguments for allowing employees other than officers to retain previously acquired securities of market participants.</w:t>
            </w:r>
          </w:p>
        </w:tc>
      </w:tr>
      <w:tr>
        <w:trPr/>
        <w:tc>
          <w:tcPr>
            <w:tcW w:w="2790" w:type="dxa"/>
            <w:tcBorders>
              <w:start w:val="single" w:sz="4" w:space="0" w:color="000000"/>
              <w:bottom w:val="single" w:sz="4" w:space="0" w:color="000000"/>
              <w:end w:val="single" w:sz="4" w:space="0" w:color="000000"/>
            </w:tcBorders>
          </w:tcPr>
          <w:p>
            <w:pPr>
              <w:pStyle w:val="Normal"/>
              <w:keepNext w:val="true"/>
              <w:keepLines/>
              <w:widowControl w:val="false"/>
              <w:snapToGrid w:val="false"/>
              <w:spacing w:before="60" w:after="60"/>
              <w:rPr>
                <w:b/>
                <w:sz w:val="18"/>
              </w:rPr>
            </w:pPr>
            <w:r>
              <w:rPr>
                <w:b/>
                <w:sz w:val="18"/>
              </w:rPr>
            </w:r>
          </w:p>
        </w:tc>
        <w:tc>
          <w:tcPr>
            <w:tcW w:w="2563" w:type="dxa"/>
            <w:tcBorders>
              <w:start w:val="single" w:sz="4" w:space="0" w:color="000000"/>
              <w:bottom w:val="single" w:sz="4" w:space="0" w:color="000000"/>
              <w:end w:val="single" w:sz="4" w:space="0" w:color="000000"/>
            </w:tcBorders>
          </w:tcPr>
          <w:p>
            <w:pPr>
              <w:pStyle w:val="Normal"/>
              <w:keepNext w:val="true"/>
              <w:keepLines/>
              <w:widowControl w:val="false"/>
              <w:snapToGrid w:val="false"/>
              <w:spacing w:before="60" w:after="60"/>
              <w:rPr>
                <w:b/>
                <w:sz w:val="18"/>
              </w:rPr>
            </w:pPr>
            <w:r>
              <w:rPr>
                <w:b/>
                <w:sz w:val="18"/>
              </w:rPr>
            </w:r>
          </w:p>
        </w:tc>
        <w:tc>
          <w:tcPr>
            <w:tcW w:w="2565" w:type="dxa"/>
            <w:tcBorders>
              <w:start w:val="single" w:sz="4" w:space="0" w:color="000000"/>
              <w:bottom w:val="single" w:sz="4" w:space="0" w:color="000000"/>
              <w:end w:val="single" w:sz="4" w:space="0" w:color="000000"/>
            </w:tcBorders>
          </w:tcPr>
          <w:p>
            <w:pPr>
              <w:pStyle w:val="Normal"/>
              <w:keepNext w:val="true"/>
              <w:keepLines/>
              <w:widowControl w:val="false"/>
              <w:snapToGrid w:val="false"/>
              <w:spacing w:before="60" w:after="60"/>
              <w:rPr>
                <w:sz w:val="18"/>
              </w:rPr>
            </w:pPr>
            <w:r>
              <w:rPr>
                <w:sz w:val="18"/>
              </w:rPr>
            </w:r>
          </w:p>
        </w:tc>
        <w:tc>
          <w:tcPr>
            <w:tcW w:w="2971" w:type="dxa"/>
            <w:tcBorders>
              <w:start w:val="single" w:sz="4" w:space="0" w:color="000000"/>
              <w:bottom w:val="single" w:sz="4" w:space="0" w:color="000000"/>
              <w:end w:val="single" w:sz="4" w:space="0" w:color="000000"/>
            </w:tcBorders>
          </w:tcPr>
          <w:p>
            <w:pPr>
              <w:pStyle w:val="Normal"/>
              <w:keepNext w:val="true"/>
              <w:keepLines/>
              <w:widowControl w:val="false"/>
              <w:spacing w:before="60" w:after="60"/>
              <w:rPr>
                <w:sz w:val="18"/>
                <w:u w:val="single"/>
              </w:rPr>
            </w:pPr>
            <w:r>
              <w:rPr>
                <w:sz w:val="18"/>
                <w:u w:val="single"/>
              </w:rPr>
              <w:t>MISO Order</w:t>
            </w:r>
            <w:r>
              <w:rPr>
                <w:sz w:val="18"/>
              </w:rPr>
              <w:t>: The Commission permitted directors, officers and employees of MISO to participate in the pension plans of RTO members, users or affiliates “as long as they are defined benefit types of plans that do not involve the ownership of the company’s securities.”</w:t>
            </w:r>
            <w:r>
              <w:rPr>
                <w:rStyle w:val="FootnoteCharacters"/>
                <w:rStyle w:val="FootnoteReference"/>
                <w:sz w:val="18"/>
              </w:rPr>
              <w:footnoteReference w:id="38"/>
            </w:r>
          </w:p>
        </w:tc>
        <w:tc>
          <w:tcPr>
            <w:tcW w:w="3149" w:type="dxa"/>
            <w:tcBorders>
              <w:start w:val="single" w:sz="4" w:space="0" w:color="000000"/>
              <w:bottom w:val="single" w:sz="4" w:space="0" w:color="000000"/>
              <w:end w:val="single" w:sz="4" w:space="0" w:color="000000"/>
            </w:tcBorders>
          </w:tcPr>
          <w:p>
            <w:pPr>
              <w:pStyle w:val="Normal"/>
              <w:keepNext w:val="true"/>
              <w:keepLines/>
              <w:widowControl w:val="false"/>
              <w:snapToGrid w:val="false"/>
              <w:spacing w:before="60" w:after="60"/>
              <w:rPr>
                <w:sz w:val="18"/>
                <w:u w:val="single"/>
              </w:rPr>
            </w:pPr>
            <w:r>
              <w:rPr>
                <w:sz w:val="18"/>
                <w:u w:val="single"/>
              </w:rPr>
            </w:r>
          </w:p>
        </w:tc>
      </w:tr>
      <w:tr>
        <w:trPr/>
        <w:tc>
          <w:tcPr>
            <w:tcW w:w="2790"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60"/>
              <w:rPr>
                <w:b/>
                <w:sz w:val="18"/>
              </w:rPr>
            </w:pPr>
            <w:r>
              <w:rPr>
                <w:b/>
                <w:sz w:val="18"/>
              </w:rPr>
              <w:t>V.  Management Contracts</w:t>
            </w:r>
          </w:p>
        </w:tc>
        <w:tc>
          <w:tcPr>
            <w:tcW w:w="2563"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60"/>
              <w:rPr>
                <w:sz w:val="18"/>
              </w:rPr>
            </w:pPr>
            <w:r>
              <w:rPr>
                <w:sz w:val="18"/>
              </w:rPr>
              <w:t>No Proposal</w:t>
            </w:r>
          </w:p>
        </w:tc>
        <w:tc>
          <w:tcPr>
            <w:tcW w:w="2565"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60"/>
              <w:rPr>
                <w:sz w:val="18"/>
              </w:rPr>
            </w:pPr>
            <w:r>
              <w:rPr>
                <w:sz w:val="18"/>
              </w:rPr>
              <w:t>There may be a management contract for services by affiliates of PipesCo and WiresCo.</w:t>
            </w:r>
          </w:p>
        </w:tc>
        <w:tc>
          <w:tcPr>
            <w:tcW w:w="2971"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0"/>
              <w:rPr/>
            </w:pPr>
            <w:r>
              <w:rPr>
                <w:sz w:val="18"/>
                <w:u w:val="single"/>
              </w:rPr>
              <w:t>Alliance Order</w:t>
            </w:r>
            <w:r>
              <w:rPr>
                <w:sz w:val="18"/>
              </w:rPr>
              <w:t xml:space="preserve">: </w:t>
            </w:r>
          </w:p>
          <w:p>
            <w:pPr>
              <w:pStyle w:val="Normal"/>
              <w:widowControl w:val="false"/>
              <w:spacing w:before="0" w:after="60"/>
              <w:rPr/>
            </w:pPr>
            <w:r>
              <w:rPr>
                <w:sz w:val="18"/>
                <w:u w:val="single"/>
              </w:rPr>
              <w:t>See</w:t>
            </w:r>
            <w:r>
              <w:rPr>
                <w:sz w:val="18"/>
              </w:rPr>
              <w:t xml:space="preserve"> II.B.11.</w:t>
            </w:r>
          </w:p>
          <w:p>
            <w:pPr>
              <w:pStyle w:val="Normal"/>
              <w:widowControl w:val="false"/>
              <w:spacing w:before="60" w:after="0"/>
              <w:rPr/>
            </w:pPr>
            <w:r>
              <w:rPr>
                <w:sz w:val="18"/>
                <w:u w:val="single"/>
              </w:rPr>
              <w:t>Order No. 2000</w:t>
            </w:r>
            <w:r>
              <w:rPr>
                <w:sz w:val="18"/>
              </w:rPr>
              <w:t>:</w:t>
            </w:r>
          </w:p>
          <w:p>
            <w:pPr>
              <w:pStyle w:val="Normal"/>
              <w:widowControl w:val="false"/>
              <w:spacing w:before="0" w:after="60"/>
              <w:rPr/>
            </w:pPr>
            <w:r>
              <w:rPr>
                <w:sz w:val="18"/>
                <w:u w:val="single"/>
              </w:rPr>
              <w:t>See</w:t>
            </w:r>
            <w:r>
              <w:rPr>
                <w:sz w:val="18"/>
              </w:rPr>
              <w:t xml:space="preserve"> II.B.11.</w:t>
            </w:r>
          </w:p>
          <w:p>
            <w:pPr>
              <w:pStyle w:val="Normal"/>
              <w:widowControl w:val="false"/>
              <w:spacing w:before="60" w:after="60"/>
              <w:rPr>
                <w:sz w:val="18"/>
                <w:u w:val="single"/>
              </w:rPr>
            </w:pPr>
            <w:r>
              <w:rPr>
                <w:sz w:val="18"/>
                <w:u w:val="single"/>
              </w:rPr>
            </w:r>
          </w:p>
        </w:tc>
        <w:tc>
          <w:tcPr>
            <w:tcW w:w="3149"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60"/>
              <w:rPr/>
            </w:pPr>
            <w:r>
              <w:rPr>
                <w:sz w:val="18"/>
              </w:rPr>
              <w:t xml:space="preserve">SEC generally requires services among registered holding companies to be priced at not more than cost.  FERC will require waiver of </w:t>
            </w:r>
            <w:r>
              <w:rPr>
                <w:sz w:val="18"/>
                <w:u w:val="single"/>
              </w:rPr>
              <w:t xml:space="preserve">Ohio Power </w:t>
            </w:r>
            <w:r>
              <w:rPr>
                <w:sz w:val="18"/>
              </w:rPr>
              <w:t>immunity.</w:t>
            </w:r>
            <w:r>
              <w:rPr>
                <w:rStyle w:val="FootnoteCharacters"/>
                <w:rStyle w:val="FootnoteReference"/>
                <w:sz w:val="18"/>
              </w:rPr>
              <w:footnoteReference w:id="39"/>
            </w:r>
            <w:r>
              <w:rPr>
                <w:sz w:val="18"/>
              </w:rPr>
              <w:t xml:space="preserve">  FERC will likely require competitive bidding.  The solution is to outsource the work if cost is higher than market.  FERC will require that contract not provide a means for PipesCo or Passive Owners to control WiresCo.</w:t>
            </w:r>
          </w:p>
        </w:tc>
      </w:tr>
    </w:tbl>
    <w:p>
      <w:pPr>
        <w:pStyle w:val="Normal"/>
        <w:rPr/>
      </w:pPr>
      <w:r>
        <w:rPr/>
      </w:r>
    </w:p>
    <w:sectPr>
      <w:headerReference w:type="default" r:id="rId2"/>
      <w:footerReference w:type="default" r:id="rId3"/>
      <w:footnotePr>
        <w:numFmt w:val="decimal"/>
      </w:footnotePr>
      <w:type w:val="nextPage"/>
      <w:pgSz w:orient="landscape" w:w="15840" w:h="12240"/>
      <w:pgMar w:left="720" w:right="1440" w:gutter="0" w:header="720" w:top="1440" w:footer="533"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lang w:eastAsia="en-US"/>
      </w:rPr>
      <w:t xml:space="preserve">- </w:t>
    </w:r>
    <w:r>
      <w:rPr>
        <w:lang w:eastAsia="en-US"/>
      </w:rPr>
      <w:fldChar w:fldCharType="begin"/>
    </w:r>
    <w:r>
      <w:rPr>
        <w:lang w:eastAsia="en-US"/>
      </w:rPr>
      <w:instrText xml:space="preserve"> PAGE </w:instrText>
    </w:r>
    <w:r>
      <w:rPr>
        <w:lang w:eastAsia="en-US"/>
      </w:rPr>
      <w:fldChar w:fldCharType="separate"/>
    </w:r>
    <w:r>
      <w:rPr>
        <w:lang w:eastAsia="en-US"/>
      </w:rPr>
      <w:t>12</w:t>
    </w:r>
    <w:r>
      <w:rPr>
        <w:lang w:eastAsia="en-US"/>
      </w:rPr>
      <w:fldChar w:fldCharType="end"/>
    </w:r>
    <w:r>
      <w:rPr>
        <w:lang w:eastAsia="en-US"/>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80"/>
        <w:ind w:firstLine="720" w:end="0"/>
        <w:rPr/>
      </w:pPr>
      <w:r>
        <w:rPr>
          <w:rStyle w:val="FootnoteCharacters"/>
        </w:rPr>
        <w:footnoteRef/>
      </w:r>
      <w:r>
        <w:rPr>
          <w:sz w:val="18"/>
        </w:rPr>
        <w:tab/>
        <w:t xml:space="preserve">Alliance Transco will be a managed limited liability company (“LLC”) with Alliance Publico, a publicly traded “C” corporation serving as the managing member.  </w:t>
      </w:r>
      <w:r>
        <w:rPr>
          <w:sz w:val="18"/>
          <w:u w:val="single"/>
        </w:rPr>
        <w:t>See</w:t>
      </w:r>
      <w:r>
        <w:rPr>
          <w:sz w:val="18"/>
        </w:rPr>
        <w:t xml:space="preserve"> Alliance Agreement §§ 4.1 and 5.1.</w:t>
      </w:r>
    </w:p>
  </w:footnote>
  <w:footnote w:id="3">
    <w:p>
      <w:pPr>
        <w:pStyle w:val="Normal"/>
        <w:spacing w:before="0" w:after="80"/>
        <w:ind w:firstLine="720" w:end="0"/>
        <w:rPr/>
      </w:pPr>
      <w:r>
        <w:rPr>
          <w:rStyle w:val="FootnoteCharacters"/>
        </w:rPr>
        <w:footnoteRef/>
      </w:r>
      <w:r>
        <w:rPr>
          <w:sz w:val="18"/>
        </w:rPr>
        <w:tab/>
        <w:t xml:space="preserve">Order No. 2000, </w:t>
      </w:r>
      <w:r>
        <w:rPr>
          <w:sz w:val="18"/>
          <w:u w:val="single"/>
        </w:rPr>
        <w:t>mimeo</w:t>
      </w:r>
      <w:r>
        <w:rPr>
          <w:sz w:val="18"/>
        </w:rPr>
        <w:t xml:space="preserve"> at 124.  The Commission recognizes that “[t]ax consequences, public ownership, bond indentures and current organizational form will each have an impact on the decision of what form of organization a particular RTO will propose.”  </w:t>
      </w:r>
      <w:r>
        <w:rPr>
          <w:sz w:val="18"/>
          <w:u w:val="single"/>
        </w:rPr>
        <w:t>Id.</w:t>
      </w:r>
      <w:r>
        <w:rPr>
          <w:sz w:val="18"/>
        </w:rPr>
        <w:t xml:space="preserve">, </w:t>
      </w:r>
      <w:r>
        <w:rPr>
          <w:sz w:val="18"/>
          <w:u w:val="single"/>
        </w:rPr>
        <w:t>mimeo</w:t>
      </w:r>
      <w:r>
        <w:rPr>
          <w:sz w:val="18"/>
        </w:rPr>
        <w:t xml:space="preserve"> at 125-26.</w:t>
      </w:r>
    </w:p>
  </w:footnote>
  <w:footnote w:id="4">
    <w:p>
      <w:pPr>
        <w:pStyle w:val="Normal"/>
        <w:spacing w:before="0" w:after="80"/>
        <w:ind w:firstLine="720" w:end="0"/>
        <w:rPr/>
      </w:pPr>
      <w:r>
        <w:rPr>
          <w:rStyle w:val="FootnoteCharacters"/>
        </w:rPr>
        <w:footnoteRef/>
      </w:r>
      <w:r>
        <w:rPr>
          <w:sz w:val="18"/>
        </w:rPr>
        <w:tab/>
      </w:r>
      <w:r>
        <w:rPr>
          <w:sz w:val="18"/>
          <w:u w:val="single"/>
        </w:rPr>
        <w:t>Cf</w:t>
      </w:r>
      <w:r>
        <w:rPr>
          <w:sz w:val="18"/>
        </w:rPr>
        <w:t xml:space="preserve">. </w:t>
      </w:r>
      <w:r>
        <w:rPr>
          <w:sz w:val="18"/>
          <w:u w:val="single"/>
        </w:rPr>
        <w:t>id.</w:t>
      </w:r>
      <w:r>
        <w:rPr>
          <w:sz w:val="18"/>
        </w:rPr>
        <w:t xml:space="preserve">, </w:t>
      </w:r>
      <w:r>
        <w:rPr>
          <w:sz w:val="18"/>
          <w:u w:val="single"/>
        </w:rPr>
        <w:t>mimeo</w:t>
      </w:r>
      <w:r>
        <w:rPr>
          <w:sz w:val="18"/>
        </w:rPr>
        <w:t xml:space="preserve"> at 126.</w:t>
      </w:r>
    </w:p>
  </w:footnote>
  <w:footnote w:id="5">
    <w:p>
      <w:pPr>
        <w:pStyle w:val="Normal"/>
        <w:spacing w:before="0" w:after="80"/>
        <w:ind w:firstLine="720" w:end="0"/>
        <w:rPr/>
      </w:pPr>
      <w:r>
        <w:rPr>
          <w:rStyle w:val="FootnoteCharacters"/>
        </w:rPr>
        <w:footnoteRef/>
      </w:r>
      <w:r>
        <w:rPr>
          <w:sz w:val="18"/>
        </w:rPr>
        <w:tab/>
      </w:r>
      <w:r>
        <w:rPr>
          <w:sz w:val="18"/>
          <w:u w:val="single"/>
        </w:rPr>
        <w:t>Alliance Companies, et al.</w:t>
      </w:r>
      <w:r>
        <w:rPr>
          <w:sz w:val="18"/>
        </w:rPr>
        <w:t xml:space="preserve">, 89 FERC ¶ 61,298 (1999) (“Alliance Order”), </w:t>
      </w:r>
      <w:r>
        <w:rPr>
          <w:sz w:val="18"/>
          <w:u w:val="single"/>
        </w:rPr>
        <w:t>mimeo</w:t>
      </w:r>
      <w:r>
        <w:rPr>
          <w:sz w:val="18"/>
        </w:rPr>
        <w:t xml:space="preserve"> at 31-32.</w:t>
      </w:r>
    </w:p>
  </w:footnote>
  <w:footnote w:id="6">
    <w:p>
      <w:pPr>
        <w:pStyle w:val="Normal"/>
        <w:spacing w:before="0" w:after="80"/>
        <w:ind w:firstLine="720" w:end="0"/>
        <w:rPr/>
      </w:pPr>
      <w:r>
        <w:rPr>
          <w:rStyle w:val="FootnoteCharacters"/>
        </w:rPr>
        <w:footnoteRef/>
      </w:r>
      <w:r>
        <w:rPr>
          <w:sz w:val="18"/>
        </w:rPr>
        <w:tab/>
      </w:r>
      <w:r>
        <w:rPr>
          <w:sz w:val="18"/>
          <w:u w:val="single"/>
        </w:rPr>
        <w:t>Id.</w:t>
      </w:r>
      <w:r>
        <w:rPr>
          <w:sz w:val="18"/>
        </w:rPr>
        <w:t xml:space="preserve"> at 32.</w:t>
      </w:r>
    </w:p>
  </w:footnote>
  <w:footnote w:id="7">
    <w:p>
      <w:pPr>
        <w:pStyle w:val="Normal"/>
        <w:spacing w:before="0" w:after="80"/>
        <w:ind w:firstLine="720" w:end="0"/>
        <w:rPr/>
      </w:pPr>
      <w:r>
        <w:rPr>
          <w:rStyle w:val="FootnoteCharacters"/>
        </w:rPr>
        <w:footnoteRef/>
      </w:r>
      <w:r>
        <w:rPr>
          <w:sz w:val="18"/>
        </w:rPr>
        <w:tab/>
        <w:t xml:space="preserve">Order No. 2000, </w:t>
      </w:r>
      <w:r>
        <w:rPr>
          <w:sz w:val="18"/>
          <w:u w:val="single"/>
        </w:rPr>
        <w:t>mimeo</w:t>
      </w:r>
      <w:r>
        <w:rPr>
          <w:sz w:val="18"/>
        </w:rPr>
        <w:t xml:space="preserve"> at 218-21.</w:t>
      </w:r>
    </w:p>
  </w:footnote>
  <w:footnote w:id="8">
    <w:p>
      <w:pPr>
        <w:pStyle w:val="Normal"/>
        <w:spacing w:before="0" w:after="80"/>
        <w:ind w:firstLine="720" w:end="0"/>
        <w:rPr/>
      </w:pPr>
      <w:r>
        <w:rPr>
          <w:rStyle w:val="FootnoteCharacters"/>
        </w:rPr>
        <w:footnoteRef/>
      </w:r>
      <w:r>
        <w:rPr>
          <w:sz w:val="18"/>
        </w:rPr>
        <w:tab/>
        <w:t xml:space="preserve">Order No. 2000, </w:t>
      </w:r>
      <w:r>
        <w:rPr>
          <w:sz w:val="18"/>
          <w:u w:val="single"/>
        </w:rPr>
        <w:t>mimeo</w:t>
      </w:r>
      <w:r>
        <w:rPr>
          <w:sz w:val="18"/>
        </w:rPr>
        <w:t xml:space="preserve"> at 210.  The eight factors are: (1) fiduciary responsibilities of the RTO board and management to passive owners; (2) ability of the RTO to raise capital independently of its passive owners; (3) ability of the RTO to make investment and financing decisions independently of its passive owners; (4) the extent of control by passive owners over board selection and removal; (5) the extent of control by passive owners over transmission rates, terms and conditions; (6) control of passive owners over issuance of new membership interests and/or equity; (7) services that will be provided by the passive owners or their employees to the RTO; and (8) the extent of access of passive owners to information not available to other market participants.</w:t>
      </w:r>
    </w:p>
  </w:footnote>
  <w:footnote w:id="9">
    <w:p>
      <w:pPr>
        <w:pStyle w:val="Normal"/>
        <w:spacing w:before="0" w:after="80"/>
        <w:ind w:firstLine="720" w:end="0"/>
        <w:rPr/>
      </w:pPr>
      <w:r>
        <w:rPr>
          <w:rStyle w:val="FootnoteCharacters"/>
        </w:rPr>
        <w:footnoteRef/>
      </w:r>
      <w:r>
        <w:rPr>
          <w:sz w:val="18"/>
        </w:rPr>
        <w:tab/>
        <w:t xml:space="preserve">Alliance Order, </w:t>
      </w:r>
      <w:r>
        <w:rPr>
          <w:sz w:val="18"/>
          <w:u w:val="single"/>
        </w:rPr>
        <w:t>mimeo</w:t>
      </w:r>
      <w:r>
        <w:rPr>
          <w:sz w:val="18"/>
        </w:rPr>
        <w:t xml:space="preserve"> at 13.</w:t>
      </w:r>
    </w:p>
  </w:footnote>
  <w:footnote w:id="10">
    <w:p>
      <w:pPr>
        <w:pStyle w:val="Normal"/>
        <w:spacing w:before="0" w:after="80"/>
        <w:ind w:firstLine="720" w:end="0"/>
        <w:rPr/>
      </w:pPr>
      <w:r>
        <w:rPr>
          <w:rStyle w:val="FootnoteCharacters"/>
        </w:rPr>
        <w:footnoteRef/>
      </w:r>
      <w:r>
        <w:rPr>
          <w:sz w:val="18"/>
        </w:rPr>
        <w:tab/>
        <w:t xml:space="preserve">Order No. 2000, </w:t>
      </w:r>
      <w:r>
        <w:rPr>
          <w:sz w:val="18"/>
          <w:u w:val="single"/>
        </w:rPr>
        <w:t>mimeo</w:t>
      </w:r>
      <w:r>
        <w:rPr>
          <w:sz w:val="18"/>
        </w:rPr>
        <w:t xml:space="preserve"> at 124.</w:t>
      </w:r>
    </w:p>
  </w:footnote>
  <w:footnote w:id="11">
    <w:p>
      <w:pPr>
        <w:pStyle w:val="Normal"/>
        <w:spacing w:before="0" w:after="80"/>
        <w:ind w:firstLine="720" w:end="0"/>
        <w:rPr/>
      </w:pPr>
      <w:r>
        <w:rPr>
          <w:rStyle w:val="FootnoteCharacters"/>
        </w:rPr>
        <w:footnoteRef/>
      </w:r>
      <w:r>
        <w:rPr>
          <w:sz w:val="18"/>
        </w:rPr>
        <w:tab/>
      </w:r>
      <w:r>
        <w:rPr>
          <w:sz w:val="18"/>
          <w:u w:val="single"/>
        </w:rPr>
        <w:t>Id.</w:t>
      </w:r>
      <w:r>
        <w:rPr>
          <w:sz w:val="18"/>
        </w:rPr>
        <w:t xml:space="preserve"> at 206-213.</w:t>
      </w:r>
    </w:p>
  </w:footnote>
  <w:footnote w:id="12">
    <w:p>
      <w:pPr>
        <w:pStyle w:val="Normal"/>
        <w:spacing w:before="0" w:after="80"/>
        <w:ind w:firstLine="720" w:end="0"/>
        <w:rPr/>
      </w:pPr>
      <w:r>
        <w:rPr>
          <w:rStyle w:val="FootnoteCharacters"/>
        </w:rPr>
        <w:footnoteRef/>
      </w:r>
      <w:r>
        <w:rPr>
          <w:sz w:val="18"/>
        </w:rPr>
        <w:tab/>
      </w:r>
      <w:r>
        <w:rPr>
          <w:sz w:val="18"/>
          <w:u w:val="single"/>
        </w:rPr>
        <w:t>Entergy Services, Inc.</w:t>
      </w:r>
      <w:r>
        <w:rPr>
          <w:sz w:val="18"/>
        </w:rPr>
        <w:t>, 88 FERC ¶ 61,149, at 61,501 (1999).</w:t>
      </w:r>
    </w:p>
  </w:footnote>
  <w:footnote w:id="13">
    <w:p>
      <w:pPr>
        <w:pStyle w:val="Normal"/>
        <w:spacing w:before="0" w:after="80"/>
        <w:ind w:firstLine="720" w:end="0"/>
        <w:rPr/>
      </w:pPr>
      <w:r>
        <w:rPr>
          <w:rStyle w:val="FootnoteCharacters"/>
        </w:rPr>
        <w:footnoteRef/>
      </w:r>
      <w:r>
        <w:rPr>
          <w:sz w:val="18"/>
        </w:rPr>
        <w:tab/>
        <w:t xml:space="preserve">Alliance Order, </w:t>
      </w:r>
      <w:r>
        <w:rPr>
          <w:sz w:val="18"/>
          <w:u w:val="single"/>
        </w:rPr>
        <w:t>mimeo</w:t>
      </w:r>
      <w:r>
        <w:rPr>
          <w:sz w:val="18"/>
        </w:rPr>
        <w:t xml:space="preserve"> at 13, </w:t>
      </w:r>
      <w:r>
        <w:rPr>
          <w:sz w:val="18"/>
          <w:u w:val="single"/>
        </w:rPr>
        <w:t>citing</w:t>
      </w:r>
      <w:r>
        <w:rPr>
          <w:sz w:val="18"/>
        </w:rPr>
        <w:t xml:space="preserve">, </w:t>
      </w:r>
      <w:r>
        <w:rPr>
          <w:sz w:val="18"/>
          <w:u w:val="single"/>
        </w:rPr>
        <w:t>Midwest ISO</w:t>
      </w:r>
      <w:r>
        <w:rPr>
          <w:sz w:val="18"/>
        </w:rPr>
        <w:t>, 84 FERC ¶ 61,231, at 62,151 (1998).</w:t>
      </w:r>
    </w:p>
  </w:footnote>
  <w:footnote w:id="14">
    <w:p>
      <w:pPr>
        <w:pStyle w:val="Normal"/>
        <w:spacing w:before="0" w:after="80"/>
        <w:ind w:firstLine="720" w:end="0"/>
        <w:rPr/>
      </w:pPr>
      <w:r>
        <w:rPr>
          <w:rStyle w:val="FootnoteCharacters"/>
        </w:rPr>
        <w:footnoteRef/>
      </w:r>
      <w:r>
        <w:rPr>
          <w:sz w:val="18"/>
        </w:rPr>
        <w:tab/>
      </w:r>
      <w:r>
        <w:rPr>
          <w:sz w:val="18"/>
          <w:u w:val="single"/>
        </w:rPr>
        <w:t>Id</w:t>
      </w:r>
      <w:r>
        <w:rPr>
          <w:sz w:val="18"/>
        </w:rPr>
        <w:t>.</w:t>
      </w:r>
    </w:p>
  </w:footnote>
  <w:footnote w:id="15">
    <w:p>
      <w:pPr>
        <w:pStyle w:val="Normal"/>
        <w:spacing w:before="0" w:after="80"/>
        <w:ind w:firstLine="720" w:end="0"/>
        <w:rPr/>
      </w:pPr>
      <w:r>
        <w:rPr>
          <w:rStyle w:val="FootnoteCharacters"/>
        </w:rPr>
        <w:footnoteRef/>
      </w:r>
      <w:r>
        <w:rPr>
          <w:sz w:val="18"/>
        </w:rPr>
        <w:tab/>
      </w:r>
      <w:r>
        <w:rPr>
          <w:sz w:val="18"/>
          <w:u w:val="single"/>
        </w:rPr>
        <w:t>Id.</w:t>
      </w:r>
      <w:r>
        <w:rPr>
          <w:sz w:val="18"/>
        </w:rPr>
        <w:t xml:space="preserve"> at 31.</w:t>
      </w:r>
    </w:p>
  </w:footnote>
  <w:footnote w:id="16">
    <w:p>
      <w:pPr>
        <w:pStyle w:val="Normal"/>
        <w:spacing w:before="0" w:after="80"/>
        <w:ind w:firstLine="720" w:end="0"/>
        <w:rPr/>
      </w:pPr>
      <w:r>
        <w:rPr>
          <w:rStyle w:val="FootnoteCharacters"/>
        </w:rPr>
        <w:footnoteRef/>
      </w:r>
      <w:r>
        <w:rPr>
          <w:sz w:val="18"/>
        </w:rPr>
        <w:tab/>
        <w:t xml:space="preserve">Order No. 2000, </w:t>
      </w:r>
      <w:r>
        <w:rPr>
          <w:sz w:val="18"/>
          <w:u w:val="single"/>
        </w:rPr>
        <w:t>mimeo</w:t>
      </w:r>
      <w:r>
        <w:rPr>
          <w:sz w:val="18"/>
        </w:rPr>
        <w:t xml:space="preserve"> at 210.</w:t>
      </w:r>
    </w:p>
  </w:footnote>
  <w:footnote w:id="17">
    <w:p>
      <w:pPr>
        <w:pStyle w:val="Normal"/>
        <w:spacing w:before="0" w:after="80"/>
        <w:ind w:firstLine="720" w:end="0"/>
        <w:rPr/>
      </w:pPr>
      <w:r>
        <w:rPr>
          <w:rStyle w:val="FootnoteCharacters"/>
        </w:rPr>
        <w:footnoteRef/>
      </w:r>
      <w:r>
        <w:rPr>
          <w:sz w:val="18"/>
        </w:rPr>
        <w:tab/>
      </w:r>
      <w:r>
        <w:rPr>
          <w:sz w:val="18"/>
          <w:u w:val="single"/>
        </w:rPr>
        <w:t>Id.</w:t>
      </w:r>
      <w:r>
        <w:rPr>
          <w:sz w:val="18"/>
        </w:rPr>
        <w:t xml:space="preserve"> at 485.</w:t>
      </w:r>
    </w:p>
  </w:footnote>
  <w:footnote w:id="18">
    <w:p>
      <w:pPr>
        <w:pStyle w:val="Normal"/>
        <w:spacing w:before="0" w:after="80"/>
        <w:ind w:firstLine="720" w:end="0"/>
        <w:rPr/>
      </w:pPr>
      <w:r>
        <w:rPr>
          <w:rStyle w:val="FootnoteCharacters"/>
        </w:rPr>
        <w:footnoteRef/>
      </w:r>
      <w:r>
        <w:rPr>
          <w:sz w:val="18"/>
        </w:rPr>
        <w:tab/>
      </w:r>
      <w:r>
        <w:rPr>
          <w:sz w:val="18"/>
          <w:u w:val="single"/>
        </w:rPr>
        <w:t>Id.</w:t>
      </w:r>
    </w:p>
  </w:footnote>
  <w:footnote w:id="19">
    <w:p>
      <w:pPr>
        <w:pStyle w:val="Normal"/>
        <w:spacing w:before="0" w:after="80"/>
        <w:ind w:firstLine="720" w:end="0"/>
        <w:rPr/>
      </w:pPr>
      <w:r>
        <w:rPr>
          <w:rStyle w:val="FootnoteCharacters"/>
        </w:rPr>
        <w:footnoteRef/>
      </w:r>
      <w:r>
        <w:rPr>
          <w:sz w:val="18"/>
        </w:rPr>
        <w:tab/>
        <w:t xml:space="preserve">Order No. 2000, </w:t>
      </w:r>
      <w:r>
        <w:rPr>
          <w:sz w:val="18"/>
          <w:u w:val="single"/>
        </w:rPr>
        <w:t>mimeo</w:t>
      </w:r>
      <w:r>
        <w:rPr>
          <w:sz w:val="18"/>
        </w:rPr>
        <w:t xml:space="preserve"> at 319.</w:t>
      </w:r>
    </w:p>
  </w:footnote>
  <w:footnote w:id="20">
    <w:p>
      <w:pPr>
        <w:pStyle w:val="Normal"/>
        <w:spacing w:before="0" w:after="80"/>
        <w:ind w:firstLine="720" w:end="0"/>
        <w:rPr/>
      </w:pPr>
      <w:r>
        <w:rPr>
          <w:rStyle w:val="FootnoteCharacters"/>
        </w:rPr>
        <w:footnoteRef/>
      </w:r>
      <w:r>
        <w:rPr>
          <w:sz w:val="18"/>
        </w:rPr>
        <w:tab/>
      </w:r>
      <w:r>
        <w:rPr>
          <w:sz w:val="18"/>
          <w:u w:val="single"/>
        </w:rPr>
        <w:t>Id.</w:t>
      </w:r>
    </w:p>
  </w:footnote>
  <w:footnote w:id="21">
    <w:p>
      <w:pPr>
        <w:pStyle w:val="Normal"/>
        <w:spacing w:before="0" w:after="80"/>
        <w:ind w:firstLine="720" w:end="0"/>
        <w:rPr/>
      </w:pPr>
      <w:r>
        <w:rPr>
          <w:rStyle w:val="FootnoteCharacters"/>
        </w:rPr>
        <w:footnoteRef/>
      </w:r>
      <w:r>
        <w:rPr>
          <w:sz w:val="18"/>
        </w:rPr>
        <w:tab/>
        <w:t xml:space="preserve">Order No. 2000, </w:t>
      </w:r>
      <w:r>
        <w:rPr>
          <w:sz w:val="18"/>
          <w:u w:val="single"/>
        </w:rPr>
        <w:t>mimeo</w:t>
      </w:r>
      <w:r>
        <w:rPr>
          <w:sz w:val="18"/>
        </w:rPr>
        <w:t xml:space="preserve"> at 246.</w:t>
      </w:r>
    </w:p>
  </w:footnote>
  <w:footnote w:id="22">
    <w:p>
      <w:pPr>
        <w:pStyle w:val="Normal"/>
        <w:spacing w:before="0" w:after="80"/>
        <w:ind w:firstLine="720" w:end="0"/>
        <w:rPr/>
      </w:pPr>
      <w:r>
        <w:rPr>
          <w:rStyle w:val="FootnoteCharacters"/>
        </w:rPr>
        <w:footnoteRef/>
      </w:r>
      <w:r>
        <w:rPr>
          <w:sz w:val="18"/>
        </w:rPr>
        <w:tab/>
      </w:r>
      <w:r>
        <w:rPr>
          <w:sz w:val="18"/>
          <w:u w:val="single"/>
        </w:rPr>
        <w:t>Id.</w:t>
      </w:r>
      <w:r>
        <w:rPr>
          <w:sz w:val="18"/>
        </w:rPr>
        <w:t>, at 246.</w:t>
      </w:r>
    </w:p>
  </w:footnote>
  <w:footnote w:id="23">
    <w:p>
      <w:pPr>
        <w:pStyle w:val="Normal"/>
        <w:spacing w:before="0" w:after="80"/>
        <w:ind w:firstLine="720" w:end="0"/>
        <w:rPr/>
      </w:pPr>
      <w:r>
        <w:rPr>
          <w:rStyle w:val="FootnoteCharacters"/>
        </w:rPr>
        <w:footnoteRef/>
      </w:r>
      <w:r>
        <w:rPr>
          <w:sz w:val="18"/>
        </w:rPr>
        <w:tab/>
        <w:t xml:space="preserve">Order No. 2000, </w:t>
      </w:r>
      <w:r>
        <w:rPr>
          <w:sz w:val="18"/>
          <w:u w:val="single"/>
        </w:rPr>
        <w:t>mimeo</w:t>
      </w:r>
      <w:r>
        <w:rPr>
          <w:sz w:val="18"/>
        </w:rPr>
        <w:t xml:space="preserve"> at 7 n.5.</w:t>
      </w:r>
    </w:p>
  </w:footnote>
  <w:footnote w:id="24">
    <w:p>
      <w:pPr>
        <w:pStyle w:val="Normal"/>
        <w:spacing w:before="0" w:after="80"/>
        <w:ind w:firstLine="720" w:end="0"/>
        <w:rPr/>
      </w:pPr>
      <w:r>
        <w:rPr>
          <w:rStyle w:val="FootnoteCharacters"/>
        </w:rPr>
        <w:footnoteRef/>
      </w:r>
      <w:r>
        <w:rPr>
          <w:sz w:val="18"/>
        </w:rPr>
        <w:tab/>
        <w:t xml:space="preserve">Order No. 2000, </w:t>
      </w:r>
      <w:r>
        <w:rPr>
          <w:sz w:val="18"/>
          <w:u w:val="single"/>
        </w:rPr>
        <w:t>mimeo</w:t>
      </w:r>
      <w:r>
        <w:rPr>
          <w:sz w:val="18"/>
        </w:rPr>
        <w:t xml:space="preserve"> at 210.</w:t>
      </w:r>
    </w:p>
  </w:footnote>
  <w:footnote w:id="25">
    <w:p>
      <w:pPr>
        <w:pStyle w:val="Normal"/>
        <w:spacing w:before="0" w:after="80"/>
        <w:ind w:firstLine="720" w:end="0"/>
        <w:rPr/>
      </w:pPr>
      <w:r>
        <w:rPr>
          <w:rStyle w:val="FootnoteCharacters"/>
        </w:rPr>
        <w:footnoteRef/>
      </w:r>
      <w:r>
        <w:rPr>
          <w:sz w:val="18"/>
        </w:rPr>
        <w:tab/>
        <w:t xml:space="preserve">Order No. 2000, </w:t>
      </w:r>
      <w:r>
        <w:rPr>
          <w:sz w:val="18"/>
          <w:u w:val="single"/>
        </w:rPr>
        <w:t>mimeo</w:t>
      </w:r>
      <w:r>
        <w:rPr>
          <w:sz w:val="18"/>
        </w:rPr>
        <w:t xml:space="preserve"> at 210.</w:t>
      </w:r>
    </w:p>
  </w:footnote>
  <w:footnote w:id="26">
    <w:p>
      <w:pPr>
        <w:pStyle w:val="Normal"/>
        <w:spacing w:before="0" w:after="80"/>
        <w:ind w:firstLine="720" w:end="0"/>
        <w:rPr/>
      </w:pPr>
      <w:r>
        <w:rPr>
          <w:rStyle w:val="FootnoteCharacters"/>
        </w:rPr>
        <w:footnoteRef/>
      </w:r>
      <w:r>
        <w:rPr>
          <w:sz w:val="18"/>
        </w:rPr>
        <w:tab/>
        <w:t xml:space="preserve">Order No. 2000, </w:t>
      </w:r>
      <w:r>
        <w:rPr>
          <w:sz w:val="18"/>
          <w:u w:val="single"/>
        </w:rPr>
        <w:t>mimeo</w:t>
      </w:r>
      <w:r>
        <w:rPr>
          <w:sz w:val="18"/>
        </w:rPr>
        <w:t xml:space="preserve"> at 485.</w:t>
      </w:r>
    </w:p>
  </w:footnote>
  <w:footnote w:id="27">
    <w:p>
      <w:pPr>
        <w:pStyle w:val="Normal"/>
        <w:spacing w:before="0" w:after="60"/>
        <w:ind w:firstLine="720" w:end="0"/>
        <w:rPr/>
      </w:pPr>
      <w:r>
        <w:rPr>
          <w:rStyle w:val="FootnoteCharacters"/>
        </w:rPr>
        <w:footnoteRef/>
      </w:r>
      <w:r>
        <w:rPr>
          <w:sz w:val="18"/>
        </w:rPr>
        <w:tab/>
        <w:t xml:space="preserve">Alliance Order, </w:t>
      </w:r>
      <w:r>
        <w:rPr>
          <w:sz w:val="18"/>
          <w:u w:val="single"/>
        </w:rPr>
        <w:t>mimeo</w:t>
      </w:r>
      <w:r>
        <w:rPr>
          <w:sz w:val="18"/>
        </w:rPr>
        <w:t xml:space="preserve"> at 15.</w:t>
      </w:r>
    </w:p>
  </w:footnote>
  <w:footnote w:id="28">
    <w:p>
      <w:pPr>
        <w:pStyle w:val="Normal"/>
        <w:spacing w:before="0" w:after="60"/>
        <w:ind w:firstLine="720" w:end="0"/>
        <w:rPr/>
      </w:pPr>
      <w:r>
        <w:rPr>
          <w:rStyle w:val="FootnoteCharacters"/>
        </w:rPr>
        <w:footnoteRef/>
      </w:r>
      <w:r>
        <w:rPr>
          <w:sz w:val="18"/>
        </w:rPr>
        <w:tab/>
      </w:r>
      <w:r>
        <w:rPr>
          <w:sz w:val="18"/>
          <w:u w:val="single"/>
        </w:rPr>
        <w:t>Id.</w:t>
      </w:r>
      <w:r>
        <w:rPr>
          <w:sz w:val="18"/>
        </w:rPr>
        <w:t xml:space="preserve">, </w:t>
      </w:r>
      <w:r>
        <w:rPr>
          <w:sz w:val="18"/>
          <w:u w:val="single"/>
        </w:rPr>
        <w:t>mimeo</w:t>
      </w:r>
      <w:r>
        <w:rPr>
          <w:sz w:val="18"/>
        </w:rPr>
        <w:t xml:space="preserve"> at 26.</w:t>
      </w:r>
    </w:p>
  </w:footnote>
  <w:footnote w:id="29">
    <w:p>
      <w:pPr>
        <w:pStyle w:val="Normal"/>
        <w:spacing w:before="0" w:after="60"/>
        <w:ind w:firstLine="720" w:end="0"/>
        <w:rPr/>
      </w:pPr>
      <w:r>
        <w:rPr>
          <w:rStyle w:val="FootnoteCharacters"/>
        </w:rPr>
        <w:footnoteRef/>
      </w:r>
      <w:r>
        <w:rPr>
          <w:sz w:val="18"/>
        </w:rPr>
        <w:tab/>
        <w:t>Order No. 2000, at 210.</w:t>
      </w:r>
    </w:p>
  </w:footnote>
  <w:footnote w:id="30">
    <w:p>
      <w:pPr>
        <w:pStyle w:val="Normal"/>
        <w:spacing w:before="0" w:after="60"/>
        <w:ind w:firstLine="720" w:end="0"/>
        <w:rPr/>
      </w:pPr>
      <w:r>
        <w:rPr>
          <w:rStyle w:val="FootnoteCharacters"/>
        </w:rPr>
        <w:footnoteRef/>
      </w:r>
      <w:r>
        <w:rPr>
          <w:sz w:val="18"/>
        </w:rPr>
        <w:tab/>
      </w:r>
      <w:r>
        <w:rPr>
          <w:sz w:val="18"/>
          <w:u w:val="single"/>
        </w:rPr>
        <w:t>Id.</w:t>
      </w:r>
      <w:r>
        <w:rPr>
          <w:sz w:val="18"/>
        </w:rPr>
        <w:t>, at 330.</w:t>
      </w:r>
    </w:p>
  </w:footnote>
  <w:footnote w:id="31">
    <w:p>
      <w:pPr>
        <w:pStyle w:val="Normal"/>
        <w:spacing w:before="0" w:after="80"/>
        <w:ind w:firstLine="720" w:end="0"/>
        <w:rPr/>
      </w:pPr>
      <w:r>
        <w:rPr>
          <w:rStyle w:val="FootnoteCharacters"/>
        </w:rPr>
        <w:footnoteRef/>
      </w:r>
      <w:r>
        <w:rPr>
          <w:sz w:val="18"/>
        </w:rPr>
        <w:tab/>
        <w:t xml:space="preserve">Alliance Order, </w:t>
      </w:r>
      <w:r>
        <w:rPr>
          <w:sz w:val="18"/>
          <w:u w:val="single"/>
        </w:rPr>
        <w:t>mimeo</w:t>
      </w:r>
      <w:r>
        <w:rPr>
          <w:sz w:val="18"/>
        </w:rPr>
        <w:t xml:space="preserve"> at 12.</w:t>
      </w:r>
    </w:p>
  </w:footnote>
  <w:footnote w:id="32">
    <w:p>
      <w:pPr>
        <w:pStyle w:val="Normal"/>
        <w:spacing w:before="0" w:after="80"/>
        <w:ind w:firstLine="720" w:end="0"/>
        <w:rPr/>
      </w:pPr>
      <w:r>
        <w:rPr>
          <w:rStyle w:val="FootnoteCharacters"/>
        </w:rPr>
        <w:footnoteRef/>
      </w:r>
      <w:r>
        <w:rPr>
          <w:sz w:val="18"/>
        </w:rPr>
        <w:tab/>
        <w:t xml:space="preserve">Order No.  2000, </w:t>
      </w:r>
      <w:r>
        <w:rPr>
          <w:sz w:val="18"/>
          <w:u w:val="single"/>
        </w:rPr>
        <w:t>mimeo</w:t>
      </w:r>
      <w:r>
        <w:rPr>
          <w:sz w:val="18"/>
        </w:rPr>
        <w:t xml:space="preserve"> at 210.</w:t>
      </w:r>
    </w:p>
  </w:footnote>
  <w:footnote w:id="33">
    <w:p>
      <w:pPr>
        <w:pStyle w:val="Normal"/>
        <w:spacing w:before="0" w:after="80"/>
        <w:ind w:firstLine="720" w:end="0"/>
        <w:rPr/>
      </w:pPr>
      <w:r>
        <w:rPr>
          <w:rStyle w:val="FootnoteCharacters"/>
        </w:rPr>
        <w:footnoteRef/>
      </w:r>
      <w:r>
        <w:rPr>
          <w:sz w:val="18"/>
        </w:rPr>
        <w:tab/>
      </w:r>
      <w:r>
        <w:rPr>
          <w:sz w:val="18"/>
          <w:u w:val="single"/>
        </w:rPr>
        <w:t>Entergy Services, Inc.</w:t>
      </w:r>
      <w:r>
        <w:rPr>
          <w:sz w:val="18"/>
        </w:rPr>
        <w:t>, 88 FERC at 61,501.</w:t>
      </w:r>
    </w:p>
  </w:footnote>
  <w:footnote w:id="34">
    <w:p>
      <w:pPr>
        <w:pStyle w:val="Normal"/>
        <w:spacing w:before="0" w:after="80"/>
        <w:ind w:firstLine="720" w:end="0"/>
        <w:rPr/>
      </w:pPr>
      <w:r>
        <w:rPr>
          <w:rStyle w:val="FootnoteCharacters"/>
        </w:rPr>
        <w:footnoteRef/>
      </w:r>
      <w:r>
        <w:rPr>
          <w:sz w:val="18"/>
        </w:rPr>
        <w:tab/>
      </w:r>
      <w:r>
        <w:rPr>
          <w:sz w:val="18"/>
          <w:u w:val="single"/>
        </w:rPr>
        <w:t>Midwest ISO</w:t>
      </w:r>
      <w:r>
        <w:rPr>
          <w:sz w:val="18"/>
        </w:rPr>
        <w:t>, 84 FERC at 62,147-48 (permitting ISO Members, which include Transmission Owners, to select ISO board).</w:t>
      </w:r>
    </w:p>
  </w:footnote>
  <w:footnote w:id="35">
    <w:p>
      <w:pPr>
        <w:pStyle w:val="Normal"/>
        <w:spacing w:before="0" w:after="80"/>
        <w:ind w:firstLine="720" w:end="0"/>
        <w:rPr/>
      </w:pPr>
      <w:r>
        <w:rPr>
          <w:rStyle w:val="FootnoteCharacters"/>
        </w:rPr>
        <w:footnoteRef/>
      </w:r>
      <w:r>
        <w:rPr>
          <w:sz w:val="18"/>
        </w:rPr>
        <w:tab/>
        <w:t xml:space="preserve">Alliance Order, </w:t>
      </w:r>
      <w:r>
        <w:rPr>
          <w:sz w:val="18"/>
          <w:u w:val="single"/>
        </w:rPr>
        <w:t>mimeo</w:t>
      </w:r>
      <w:r>
        <w:rPr>
          <w:sz w:val="18"/>
        </w:rPr>
        <w:t xml:space="preserve"> at 14-15.  Participation in a pension plan is permissible if the plan is defined-benefit plan that does not involve ownership of securities.  </w:t>
      </w:r>
      <w:r>
        <w:rPr>
          <w:sz w:val="18"/>
          <w:u w:val="single"/>
        </w:rPr>
        <w:t>Id.</w:t>
      </w:r>
      <w:r>
        <w:rPr>
          <w:sz w:val="18"/>
        </w:rPr>
        <w:t xml:space="preserve">, </w:t>
      </w:r>
      <w:r>
        <w:rPr>
          <w:sz w:val="18"/>
          <w:u w:val="single"/>
        </w:rPr>
        <w:t>mimeo</w:t>
      </w:r>
      <w:r>
        <w:rPr>
          <w:sz w:val="18"/>
        </w:rPr>
        <w:t xml:space="preserve"> at 15 n.26.</w:t>
      </w:r>
    </w:p>
  </w:footnote>
  <w:footnote w:id="36">
    <w:p>
      <w:pPr>
        <w:pStyle w:val="Normal"/>
        <w:spacing w:before="0" w:after="80"/>
        <w:ind w:firstLine="720" w:end="0"/>
        <w:rPr/>
      </w:pPr>
      <w:r>
        <w:rPr>
          <w:rStyle w:val="FootnoteCharacters"/>
        </w:rPr>
        <w:footnoteRef/>
      </w:r>
      <w:r>
        <w:rPr>
          <w:sz w:val="18"/>
        </w:rPr>
        <w:tab/>
        <w:t xml:space="preserve">Alliance Order, </w:t>
      </w:r>
      <w:r>
        <w:rPr>
          <w:sz w:val="18"/>
          <w:u w:val="single"/>
        </w:rPr>
        <w:t>mimeo</w:t>
      </w:r>
      <w:r>
        <w:rPr>
          <w:sz w:val="18"/>
        </w:rPr>
        <w:t xml:space="preserve"> at 16.</w:t>
      </w:r>
    </w:p>
  </w:footnote>
  <w:footnote w:id="37">
    <w:p>
      <w:pPr>
        <w:pStyle w:val="Normal"/>
        <w:spacing w:before="0" w:after="80"/>
        <w:ind w:firstLine="720" w:end="0"/>
        <w:rPr/>
      </w:pPr>
      <w:r>
        <w:rPr>
          <w:rStyle w:val="FootnoteCharacters"/>
        </w:rPr>
        <w:footnoteRef/>
      </w:r>
      <w:r>
        <w:rPr>
          <w:sz w:val="18"/>
        </w:rPr>
        <w:tab/>
        <w:t xml:space="preserve">Order No.  2000, </w:t>
      </w:r>
      <w:r>
        <w:rPr>
          <w:sz w:val="18"/>
          <w:u w:val="single"/>
        </w:rPr>
        <w:t>mimeo</w:t>
      </w:r>
      <w:r>
        <w:rPr>
          <w:sz w:val="18"/>
        </w:rPr>
        <w:t xml:space="preserve"> at 201.</w:t>
      </w:r>
    </w:p>
  </w:footnote>
  <w:footnote w:id="38">
    <w:p>
      <w:pPr>
        <w:pStyle w:val="Normal"/>
        <w:spacing w:before="0" w:after="80"/>
        <w:ind w:firstLine="720" w:end="0"/>
        <w:rPr/>
      </w:pPr>
      <w:r>
        <w:rPr>
          <w:rStyle w:val="FootnoteCharacters"/>
        </w:rPr>
        <w:footnoteRef/>
      </w:r>
      <w:r>
        <w:rPr>
          <w:sz w:val="18"/>
        </w:rPr>
        <w:tab/>
      </w:r>
      <w:r>
        <w:rPr>
          <w:sz w:val="18"/>
          <w:u w:val="single"/>
        </w:rPr>
        <w:t>Midwest Independent Transmission System Operator, Inc.</w:t>
      </w:r>
      <w:r>
        <w:rPr>
          <w:sz w:val="18"/>
        </w:rPr>
        <w:t>, 85 FERC ¶ 61,250, at 62,036 (1998).</w:t>
      </w:r>
    </w:p>
  </w:footnote>
  <w:footnote w:id="39">
    <w:p>
      <w:pPr>
        <w:pStyle w:val="Normal"/>
        <w:spacing w:before="0" w:after="80"/>
        <w:ind w:firstLine="720" w:end="0"/>
        <w:rPr/>
      </w:pPr>
      <w:r>
        <w:rPr>
          <w:rStyle w:val="FootnoteCharacters"/>
        </w:rPr>
        <w:footnoteRef/>
      </w:r>
      <w:r>
        <w:rPr>
          <w:sz w:val="18"/>
        </w:rPr>
        <w:tab/>
      </w:r>
      <w:r>
        <w:rPr>
          <w:sz w:val="18"/>
          <w:u w:val="single"/>
        </w:rPr>
        <w:t>Merger Policy Statement</w:t>
      </w:r>
      <w:r>
        <w:rPr>
          <w:sz w:val="18"/>
        </w:rPr>
        <w:t xml:space="preserve">, Order No. 592, III FERC Stats &amp; Regs. ¶ 30,044, at 30,124-25 (1996); </w:t>
      </w:r>
      <w:r>
        <w:rPr>
          <w:sz w:val="18"/>
          <w:u w:val="single"/>
        </w:rPr>
        <w:t>see</w:t>
      </w:r>
      <w:r>
        <w:rPr>
          <w:sz w:val="18"/>
        </w:rPr>
        <w:t xml:space="preserve"> </w:t>
      </w:r>
      <w:r>
        <w:rPr>
          <w:sz w:val="18"/>
          <w:u w:val="single"/>
        </w:rPr>
        <w:t>Ohio Power Co. v. FERC</w:t>
      </w:r>
      <w:r>
        <w:rPr>
          <w:sz w:val="18"/>
        </w:rPr>
        <w:t xml:space="preserve">, 954 F.2d 779, 782-80 (D.C. Cir.), </w:t>
      </w:r>
      <w:r>
        <w:rPr>
          <w:sz w:val="18"/>
          <w:u w:val="single"/>
        </w:rPr>
        <w:t>cert. denied</w:t>
      </w:r>
      <w:r>
        <w:rPr>
          <w:sz w:val="18"/>
        </w:rPr>
        <w:t>, 506 U.S. 981 (1992).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t>Organizational Structure of the RTO Upon Formation</w:t>
    </w:r>
  </w:p>
  <w:p>
    <w:pPr>
      <w:pStyle w:val="Header"/>
      <w:rPr>
        <w:b/>
        <w:sz w:val="28"/>
      </w:rPr>
    </w:pPr>
    <w:r>
      <w:rPr>
        <w:b/>
        <w:sz w:val="28"/>
      </w:rPr>
    </w:r>
  </w:p>
  <w:p>
    <w:pPr>
      <w:pStyle w:val="Header"/>
      <w:jc w:val="end"/>
      <w:rPr/>
    </w:pPr>
    <w:r>
      <w:rPr/>
      <w:t>DRAFT</w:t>
    </w:r>
  </w:p>
  <w:tbl>
    <w:tblPr>
      <w:tblW w:w="14038" w:type="dxa"/>
      <w:jc w:val="center"/>
      <w:tblInd w:w="0" w:type="dxa"/>
      <w:tblLayout w:type="fixed"/>
      <w:tblCellMar>
        <w:top w:w="0" w:type="dxa"/>
        <w:start w:w="120" w:type="dxa"/>
        <w:bottom w:w="0" w:type="dxa"/>
        <w:end w:w="120" w:type="dxa"/>
      </w:tblCellMar>
    </w:tblPr>
    <w:tblGrid>
      <w:gridCol w:w="2790"/>
      <w:gridCol w:w="2563"/>
      <w:gridCol w:w="2565"/>
      <w:gridCol w:w="2971"/>
      <w:gridCol w:w="3149"/>
    </w:tblGrid>
    <w:tr>
      <w:trPr>
        <w:tblHeader w:val="true"/>
      </w:trPr>
      <w:tc>
        <w:tcPr>
          <w:tcW w:w="279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center" w:pos="1367" w:leader="none"/>
            </w:tabs>
            <w:spacing w:before="60" w:after="60"/>
            <w:jc w:val="center"/>
            <w:rPr>
              <w:b/>
              <w:sz w:val="18"/>
            </w:rPr>
          </w:pPr>
          <w:r>
            <w:rPr>
              <w:b/>
              <w:sz w:val="18"/>
            </w:rPr>
            <w:t>ISSUES</w:t>
          </w:r>
        </w:p>
      </w:tc>
      <w:tc>
        <w:tcPr>
          <w:tcW w:w="2563"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60"/>
            <w:jc w:val="center"/>
            <w:rPr>
              <w:b/>
              <w:sz w:val="18"/>
            </w:rPr>
          </w:pPr>
          <w:r>
            <w:rPr>
              <w:b/>
              <w:sz w:val="18"/>
            </w:rPr>
            <w:t>ALLIANCE PROPOSAL</w:t>
          </w:r>
        </w:p>
      </w:tc>
      <w:tc>
        <w:tcPr>
          <w:tcW w:w="2565"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60"/>
            <w:jc w:val="center"/>
            <w:rPr>
              <w:b/>
              <w:sz w:val="18"/>
            </w:rPr>
          </w:pPr>
          <w:r>
            <w:rPr>
              <w:b/>
              <w:sz w:val="18"/>
            </w:rPr>
            <w:t>ENRON PROPOSAL</w:t>
          </w:r>
        </w:p>
      </w:tc>
      <w:tc>
        <w:tcPr>
          <w:tcW w:w="2971"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60"/>
            <w:jc w:val="center"/>
            <w:rPr>
              <w:b/>
              <w:sz w:val="18"/>
            </w:rPr>
          </w:pPr>
          <w:r>
            <w:rPr>
              <w:b/>
              <w:sz w:val="18"/>
            </w:rPr>
            <w:t>RELEVANT FERC POLICY</w:t>
          </w:r>
        </w:p>
      </w:tc>
      <w:tc>
        <w:tcPr>
          <w:tcW w:w="3149"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60"/>
            <w:jc w:val="center"/>
            <w:rPr>
              <w:b/>
              <w:sz w:val="18"/>
            </w:rPr>
          </w:pPr>
          <w:r>
            <w:rPr>
              <w:b/>
              <w:sz w:val="18"/>
            </w:rPr>
            <w:t>CONCLUSIONS</w:t>
          </w:r>
        </w:p>
      </w:tc>
    </w:tr>
  </w:tbl>
  <w:p>
    <w:pPr>
      <w:pStyle w:val="Header"/>
      <w:jc w:val="end"/>
      <w:rPr/>
    </w:pPr>
    <w:r>
      <w:rPr/>
    </w:r>
  </w:p>
</w:hdr>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2000-02-15T20:47:00Z</dcterms:created>
  <dc:creator>LLGM</dc:creator>
  <dc:description/>
  <dc:language>en-CA</dc:language>
  <cp:lastModifiedBy>rtapsco</cp:lastModifiedBy>
  <cp:lastPrinted>2000-02-15T17:11:00Z</cp:lastPrinted>
  <dcterms:modified xsi:type="dcterms:W3CDTF">2000-02-15T20:40:00Z</dcterms:modified>
  <cp:revision>3</cp:revision>
  <dc:subject/>
  <dc:title>I</dc:title>
</cp:coreProperties>
</file>