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4"/>
          <w:u w:val="single"/>
        </w:rPr>
      </w:pPr>
      <w:r>
        <w:rPr>
          <w:sz w:val="24"/>
          <w:u w:val="single"/>
        </w:rPr>
        <w:t>Comparative Chart</w:t>
      </w:r>
    </w:p>
    <w:p>
      <w:pPr>
        <w:pStyle w:val="Normal"/>
        <w:rPr>
          <w:rFonts w:ascii="CG Times" w:hAnsi="CG Times" w:cs="CG Times"/>
          <w:sz w:val="18"/>
          <w:u w:val="single"/>
        </w:rPr>
      </w:pPr>
      <w:r>
        <w:rPr>
          <w:rFonts w:cs="CG Times" w:ascii="CG Times" w:hAnsi="CG Times"/>
          <w:sz w:val="18"/>
          <w:u w:val="single"/>
        </w:rPr>
      </w:r>
    </w:p>
    <w:p>
      <w:pPr>
        <w:pStyle w:val="Normal"/>
        <w:jc w:val="end"/>
        <w:rPr>
          <w:rFonts w:ascii="CG Times" w:hAnsi="CG Times" w:cs="CG Times"/>
          <w:sz w:val="18"/>
        </w:rPr>
      </w:pPr>
      <w:r>
        <w:rPr>
          <w:rFonts w:cs="CG Times" w:ascii="CG Times" w:hAnsi="CG Times"/>
          <w:sz w:val="18"/>
        </w:rPr>
      </w:r>
    </w:p>
    <w:p>
      <w:pPr>
        <w:pStyle w:val="Normal"/>
        <w:rPr>
          <w:rFonts w:ascii="CG Times" w:hAnsi="CG Times" w:cs="CG Times"/>
          <w:sz w:val="18"/>
        </w:rPr>
      </w:pPr>
      <w:r>
        <w:rPr>
          <w:rFonts w:cs="CG Times" w:ascii="CG Times" w:hAnsi="CG Times"/>
          <w:sz w:val="18"/>
        </w:rPr>
      </w:r>
    </w:p>
    <w:tbl>
      <w:tblPr>
        <w:tblW w:w="10091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247"/>
        <w:gridCol w:w="1474"/>
        <w:gridCol w:w="1474"/>
        <w:gridCol w:w="1474"/>
        <w:gridCol w:w="1474"/>
        <w:gridCol w:w="1474"/>
        <w:gridCol w:w="1474"/>
      </w:tblGrid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Institutional Investors</w:t>
            </w:r>
          </w:p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(“Annex IV”)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Depositary Receipts (“Annex V”)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Investments through International Transfer of Brazilian Currency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International Swaps (Cross Boarder Swaps) registered with the Central Bank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Cross Boarder Swaps through the International Transfer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Local Swap transactions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Types of Investors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Only qualified investors are eligible, such as:</w:t>
            </w:r>
          </w:p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commercial or investment banks,</w:t>
            </w:r>
          </w:p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insurance companies,</w:t>
            </w:r>
          </w:p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pension funds,</w:t>
            </w:r>
          </w:p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entities whose purpose is to invest in capital/financial markets, and other entities pursuant to CVM Instruction 169, a copy of which is attached hereto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Foreign investors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Non residents in Brazil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Counterparts may be any if encountered on exchanges; otherwise, if the transaction is OTC, counterparts must be regulated foreign financial institutions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Transactions with any foreign investor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Transactions between (i) two Brazilian entities introduced by a broker, (ii) a Brazilian entity with either a financial institution or a broker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Local representative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Local legal representative is required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applicable; the underlying shares are under the custody of a custodian entity in Brazil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 xml:space="preserve">A local legal representative is required 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Purpose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Investments in (a) securities issued by publicly-held corporations, (b) derivative transactions for hedging purposes, (c) fixed income up to 30% of the portfolio and between intervals of investments in securities, and other investments authorized by the CVM and the Central Bank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Investments in depositary receipts outside Brazil, the underlying shares of which are from Brazilian based publicly-held corporations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 xml:space="preserve">Investments may be made in any assets allowed under Brazilian law, including any fixed income assets, any equity investments, any derivatives investments, and other assets 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Hedging Purpose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Hedging or speculative purposes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Hedging or speculative purposes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Trades on Exchanges or OTC markets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Trades on Stock or Futures  Exchanges and on organized OTC markets such as SOMA (SOCIEDADE OPERADORA DO MERCADO DE AÇÕES)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Trades outside Brazil on Exchanges or OTC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Exchanges or OTC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Exchanges or OTC with regulated financial institutions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Exchanges or OTC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Exchanges or OTC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Institutional Investors</w:t>
            </w:r>
          </w:p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(“Annex IV”)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Depositary Receipts (“Annex V”)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Investments through International Transfer of Brazilian Currency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International Swaps (Cross Boarder Swaps) registered with Central Bank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Cross Boarder Swaps through the International Transfer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i/>
                <w:i/>
                <w:sz w:val="18"/>
              </w:rPr>
            </w:pPr>
            <w:r>
              <w:rPr>
                <w:rFonts w:cs="CG Times" w:ascii="CG Times" w:hAnsi="CG Times"/>
                <w:b/>
                <w:i/>
                <w:sz w:val="18"/>
              </w:rPr>
              <w:t>Local Swap transactions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Tax perspective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 xml:space="preserve">Capital gains and dividend payments are withholding tax exempted; general income is taxed at the rate of 15%; if the investor is located in tax haven jurisdictions, such rate is 25%; CPMF tax is applied at the rate of 0.38% 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The same tax treatment applicable to Brazilian investors; 20% rate withholding tax on capital gains incurred in fixed income trades and 10% rate on capital gains incurred in equity investments; the International Transfer is subject to IOF tax, currently at the rate of zero; CPMF tax is applied at the rate of 0.38%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Exemption of withholding tax on capital gains; if the foreign counterpart is located in a tax have jurisdiction, withholding tax applies at the rate is 25%; CPMF tax is applied at the rate of 0.38%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20% rate withholding tax on capital gains; if the foreign counterpart is located in a tax haven jurisdiction, such rate is 25%; IOF applied to the International Transfer is currently at the rate of zero; CPMF tax is applied at the rate of 0.38%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20% rate withholding tax on capital gains; CPMF tax is applied at the rate of 0.38%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Foreign capital registration</w:t>
            </w:r>
          </w:p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(Central Bank purpose)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Registered with the Central Bank (Declaratory Electronic Register)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Investments made under the International Transfer must be reported to the Central Bank; detailed documentation in connection with the investment must be provided to intervening bank in the International Transfer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Within 10 days as of the occurrence of the transaction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</w:tr>
      <w:tr>
        <w:trPr/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b/>
                <w:sz w:val="18"/>
              </w:rPr>
            </w:pPr>
            <w:r>
              <w:rPr>
                <w:rFonts w:cs="CG Times" w:ascii="CG Times" w:hAnsi="CG Times"/>
                <w:b/>
                <w:sz w:val="18"/>
              </w:rPr>
              <w:t>Local registration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Qualified Investor is required to be approved by the CVM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G Times" w:hAnsi="CG Times" w:cs="CG Times"/>
                <w:sz w:val="18"/>
              </w:rPr>
            </w:pPr>
            <w:r>
              <w:rPr>
                <w:rFonts w:cs="CG Times" w:ascii="CG Times" w:hAnsi="CG Times"/>
                <w:sz w:val="18"/>
              </w:rPr>
              <w:t>Not applicable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G Times" w:ascii="CG Times" w:hAnsi="CG Times"/>
                <w:sz w:val="18"/>
              </w:rPr>
              <w:t xml:space="preserve">OTC Trades may be registered with the BM&amp;F or with CETIP; with the BM&amp;F, it may be registered </w:t>
            </w:r>
            <w:r>
              <w:rPr>
                <w:rFonts w:cs="CG Times" w:ascii="CG Times" w:hAnsi="CG Times"/>
                <w:sz w:val="18"/>
                <w:u w:val="single"/>
              </w:rPr>
              <w:t>with the guarantee option</w:t>
            </w:r>
            <w:r>
              <w:rPr>
                <w:rFonts w:cs="CG Times" w:ascii="CG Times" w:hAnsi="CG Times"/>
                <w:sz w:val="18"/>
              </w:rPr>
              <w:t xml:space="preserve"> or </w:t>
            </w:r>
            <w:r>
              <w:rPr>
                <w:rFonts w:cs="CG Times" w:ascii="CG Times" w:hAnsi="CG Times"/>
                <w:sz w:val="18"/>
                <w:u w:val="single"/>
              </w:rPr>
              <w:t>without the guarantee option</w:t>
            </w:r>
            <w:r>
              <w:rPr>
                <w:rFonts w:cs="CG Times" w:ascii="CG Times" w:hAnsi="CG Times"/>
                <w:sz w:val="18"/>
              </w:rPr>
              <w:t>, which means with or without the guarantee of the BM&amp;F; if the trade is registered with the guarantee option, collateral may be required.</w:t>
            </w:r>
          </w:p>
        </w:tc>
      </w:tr>
    </w:tbl>
    <w:p>
      <w:pPr>
        <w:pStyle w:val="Normal"/>
        <w:rPr>
          <w:rFonts w:ascii="CG Times" w:hAnsi="CG Times" w:cs="CG Times"/>
          <w:sz w:val="10"/>
        </w:rPr>
      </w:pPr>
      <w:r>
        <w:rPr>
          <w:rFonts w:cs="CG Times" w:ascii="CG Times" w:hAnsi="CG Times"/>
          <w:sz w:val="10"/>
        </w:rPr>
        <w:t>Mbtos/Clientes/Enron/Chart1.doc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G Times" w:hAnsi="CG Times" w:cs="CG Times"/>
      <w:b/>
      <w:sz w:val="28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1999-10-16T15:31:00Z</dcterms:created>
  <dc:creator>TFTS</dc:creator>
  <dc:description/>
  <dc:language>en-CA</dc:language>
  <cp:lastModifiedBy>TFTS</cp:lastModifiedBy>
  <cp:lastPrinted>1999-10-18T10:40:00Z</cp:lastPrinted>
  <dcterms:modified xsi:type="dcterms:W3CDTF">1999-10-19T12:22:00Z</dcterms:modified>
  <cp:revision>48</cp:revision>
  <dc:subject/>
  <dc:title>Comparative Matrix</dc:title>
</cp:coreProperties>
</file>