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0" w:type="dxa"/>
        <w:jc w:val="start"/>
        <w:tblInd w:w="150" w:type="dxa"/>
        <w:tblLayout w:type="fixed"/>
        <w:tblCellMar>
          <w:top w:w="0" w:type="dxa"/>
          <w:start w:w="150" w:type="dxa"/>
          <w:bottom w:w="0" w:type="dxa"/>
          <w:end w:w="150" w:type="dxa"/>
        </w:tblCellMar>
      </w:tblPr>
      <w:tblGrid>
        <w:gridCol w:w="750"/>
        <w:gridCol w:w="4125"/>
        <w:gridCol w:w="4125"/>
      </w:tblGrid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</w:rPr>
              <w:t>Charles Faulk</w:t>
              <w:br/>
              <w:t>380 Belle Haven Pky</w:t>
              <w:br/>
              <w:t>Westerville, OH 43082-6320</w:t>
              <w:br/>
              <w:t>US</w:t>
              <w:br/>
            </w:r>
            <w:hyperlink r:id="rId2">
              <w:r>
                <w:rPr>
                  <w:rStyle w:val="Hyperlink"/>
                  <w:rFonts w:cs="Verdana; Arial" w:ascii="Verdana; Arial" w:hAnsi="Verdana; Arial"/>
                </w:rPr>
                <w:t>cfaulk@columbus.rr.com</w:t>
              </w:r>
            </w:hyperlink>
            <w:r>
              <w:rPr>
                <w:rFonts w:cs="Verdana; Arial" w:ascii="Verdana; Arial" w:hAnsi="Verdana; Arial"/>
              </w:rPr>
              <w:b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</w:rPr>
            </w:pPr>
            <w:r>
              <w:rPr>
                <w:rFonts w:cs="Verdana; Arial" w:ascii="Verdana; Arial" w:hAnsi="Verdana; Arial"/>
              </w:rPr>
              <w:t>Primary Phone:614-890-7530</w:t>
              <w:br/>
              <w:t>Secondary Phone:614-890-7530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36"/>
        <w:gridCol w:w="3564"/>
      </w:tblGrid>
      <w:tr>
        <w:trPr/>
        <w:tc>
          <w:tcPr>
            <w:tcW w:w="5436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28"/>
              </w:rPr>
              <w:t xml:space="preserve">Natural </w:t>
            </w:r>
            <w:r>
              <w:rPr>
                <w:rFonts w:cs="Verdana; Arial" w:ascii="Verdana; Arial" w:hAnsi="Verdana; Arial"/>
                <w:b/>
                <w:color w:val="FF0000"/>
                <w:sz w:val="28"/>
              </w:rPr>
              <w:t>Gas</w:t>
            </w:r>
            <w:r>
              <w:rPr>
                <w:rFonts w:cs="Verdana; Arial" w:ascii="Verdana; Arial" w:hAnsi="Verdana; Arial"/>
                <w:b/>
                <w:sz w:val="28"/>
              </w:rPr>
              <w:t xml:space="preserve"> </w:t>
            </w:r>
            <w:r>
              <w:rPr>
                <w:rFonts w:cs="Verdana; Arial" w:ascii="Verdana; Arial" w:hAnsi="Verdana; Arial"/>
                <w:b/>
                <w:color w:val="FF0000"/>
                <w:sz w:val="28"/>
              </w:rPr>
              <w:t>Trader</w:t>
            </w:r>
          </w:p>
        </w:tc>
        <w:tc>
          <w:tcPr>
            <w:tcW w:w="3564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Resume #4175242</w:t>
            </w:r>
          </w:p>
          <w:p>
            <w:pPr>
              <w:pStyle w:val="Normal"/>
              <w:rPr>
                <w:lang w:val="en-CA"/>
              </w:rPr>
            </w:pPr>
            <w:r>
              <w:rPr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152400</wp:posOffset>
                      </wp:positionV>
                      <wp:extent cx="5943600" cy="635"/>
                      <wp:effectExtent l="635" t="13335" r="635" b="63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2pt" to="467.95pt,12pt" stroked="t" o:allowincell="f" style="position:absolute;mso-position-horizontal-relative:margin">
                      <v:stroke color="#d4d4d4" joinstyle="miter" endcap="flat"/>
                      <v:fill o:detectmouseclick="t" on="false"/>
                      <v:shadow on="t" obscured="f" color="gray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OBJECTIVE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A middle/upper level management position in the energy sector, with a focus on acquisition and management of natural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supplies and transportation assets.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JOB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Job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Employee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Status: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Full-Time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Salary: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80,000.00 USD Per Year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Site Location: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18"/>
              </w:rPr>
              <w:t>Description of my perfect job:</w:t>
            </w:r>
            <w:r>
              <w:rPr>
                <w:rFonts w:cs="Verdana; Arial" w:ascii="Verdana; Arial" w:hAnsi="Verdana; Arial"/>
                <w:sz w:val="18"/>
              </w:rPr>
              <w:br/>
              <w:t xml:space="preserve">A leadership position coordinating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trader</w:t>
            </w:r>
            <w:r>
              <w:rPr>
                <w:rFonts w:cs="Verdana; Arial" w:ascii="Verdana; Arial" w:hAnsi="Verdana; Arial"/>
                <w:sz w:val="18"/>
              </w:rPr>
              <w:t>s and the back office with a focus on adding margin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Career Level: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Management (Manager/Director of Staff)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Date of Availability: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Less than 1 month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Company Size: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Medium (100 - 999)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Category: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Other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18"/>
              </w:rPr>
              <w:t>Description of my ideal company:</w:t>
            </w:r>
            <w:r>
              <w:rPr>
                <w:rFonts w:cs="Verdana; Arial" w:ascii="Verdana; Arial" w:hAnsi="Verdana; Arial"/>
                <w:sz w:val="18"/>
              </w:rPr>
              <w:br/>
              <w:t>A energy marketing company whose business plan incorporates a skilled marketing staff targeted to industrial and commercial customers, a solid book of business, a back office that has an intergrated system for tracking billings and payments, and a trading staff who understand their part in adding margin.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LOCATIONS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Relocate: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France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Germany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UK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US-AL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US-CO-Denver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US-GA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US-IL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US-IL-Chicago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US-IN-Indianapolis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US-OH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US-OK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US-PA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US-TX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US-TX-East/Tyler/Beaumont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US-TX-Houston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US-TX-Waco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US-GA-Atlanta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WORK STATUS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France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require sponsorship to work in this country.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Germany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require sponsorship to work in this country.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UK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require sponsorship to work in this country.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am authorized to work in this country for any employer.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EXPERIENCE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11/2000 -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Columbia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Transmission Corporation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Westerville OH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Account Manager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>Responsible for the maintenance of day to day communications between Columbia and 65 assigned customers in Ohio, Pennsylvania and Kentucky.</w:t>
              <w:br/>
              <w:t xml:space="preserve">·Managed the accounts of Alliance Energy Services, BP Oil Company, Columbia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of Ohio, Ford Motor Company, The Proctor &amp; Gamble Company, Toyota Motor Manufacturing Company, USA, United States Gypsum Company, Volunteer Energy Corporation and Wheeling-Pittsburgh Steel Corporation.</w:t>
              <w:br/>
              <w:t>·Negotiated transportation arrangements, discounts, pipeline interconnects and participated in dispute resolution.</w:t>
              <w:br/>
              <w:t>·Negotiated contract-restructuring agreements to facilitate unbundling at the retail level in Ohio.</w:t>
              <w:br/>
              <w:t>·Developed and implemented a strategy to balance daily plant usage across the system that reduced a customers’ balancing costs by 14%.</w:t>
              <w:br/>
              <w:t>·Implemented re-marketing of capacity turnbacks resulting in the sale of 18 Bcf of storage and transportation services.</w:t>
              <w:br/>
              <w:t>·Participated in securing commitments for long term firm contracts to support a $500 million market expansion project.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4/2000 -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FirstEnergy Trading Services, Inc.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Fairlawn OH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b/>
                <w:sz w:val="18"/>
              </w:rPr>
              <w:t xml:space="preserve"> Buyer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Responsible for the forecasting of loads for existing customers behind Peoples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Light &amp; Coke, Northshore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Company, Nicor, Inc. and Northern Indiana Public Service Company, acquisition of term and spot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supplies, management of storage balances for customers and daily scheduling of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supplies behind the city gate.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11/1998 - 2/2000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Nicole Energy Services, Inc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Columbus OH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Director Marketing - Midwest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Responsible for the marketing of natural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services to Institutional, Industrial and Commercial customers in Illinois, Indiana, Michigan and Ohio.</w:t>
              <w:br/>
              <w:t>·Directing four marketing representatives in the Columbus, OH and Chicago, IL offices</w:t>
              <w:br/>
              <w:t>·Design and implementation of marketing plans</w:t>
              <w:br/>
              <w:t>·Preparation of responses to RFP’s from governmental and corporate purchasing departments</w:t>
              <w:br/>
              <w:t>·Development of pricing models</w:t>
              <w:br/>
              <w:t>·Obtaining price quotes from suppliers</w:t>
              <w:br/>
              <w:t>·Securing supplies and transportation for customers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6/1993 - 7/1998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Columbia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Transmission Corporation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Westerville OH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Account Manager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>Responsible for the maintenance of day to day communications between Columbia and 65 assigned customers in Ohio, Pennsylvania and Kentucky.</w:t>
              <w:br/>
              <w:t xml:space="preserve">·Managed the accounts of Alliance Energy Services, BP Oil Company, Columbia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of Ohio, Ford Motor Company, The Proctor &amp; Gamble Company, Toyota Motor Manufacturing Company, USA, United States Gypsum Company, Volunteer Energy Corporation and Wheeling-Pittsburgh Steel Corporation.</w:t>
              <w:br/>
              <w:t>·Negotiated transportation arrangements, discounts, pipeline interconnects and participated in dispute resolution.</w:t>
              <w:br/>
              <w:t>·Negotiated contract-restructuring agreements to facilitate unbundling at the retail level in Ohio.</w:t>
              <w:br/>
              <w:t>·Developed and implemented a strategy to balance daily plant usage across the system that reduced a customers’ balancing costs by 14%.</w:t>
              <w:br/>
              <w:t>·Implemented re-marketing of capacity turnbacks resulting in the sale of 18 Bcf of storage and transportation services.</w:t>
              <w:br/>
              <w:t>·Participated in securing commitments for long term firm contracts to support a $500 million market expansion project.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5/1989 - 5/1993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Columbia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Transmission Corporation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Houston TX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18"/>
              </w:rPr>
              <w:t xml:space="preserve">Manager,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b/>
                <w:sz w:val="18"/>
              </w:rPr>
              <w:t xml:space="preserve"> Acquisition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Responsible for securing spot and long-term natural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supplies for system supply for delivery into Columbia Gulf Transmission Company, Trailblazer Pipeline Company, and Ozark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Transmission Corporation.</w:t>
              <w:br/>
              <w:t>·Negotiated significant settlement agreements with major suppliers relating to take and pay contracts, price redeterminations and summer release programs.</w:t>
              <w:br/>
              <w:t xml:space="preserve">·Implemented a spot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purchase program to replace contracts lost during bankruptcy.</w:t>
              <w:br/>
              <w:t>·Successfully maintained relationships with producers after the bankruptcy filing.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EDUCATION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University of Houston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US-Texas-Houston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Bachelor's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AFFILIATIONS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6/1993 - 7/1998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Ohio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Association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Member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11/1983 -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Houston Energy Association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Member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SKILLS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Name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Level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Last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Experience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Microsoft Office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Intermediate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10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REFERENCES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Michael D. Anderson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Columbis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of Ohio, Inc.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Director, Supply Planning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614-460-4890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Wayne D. Roesler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Reliant Energy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713-207-5263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Personal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John G. Wright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Exxon/Mobil USA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Senior Staff Negotiatior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713-656-6297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Steven J. Becker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Columbia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Gas</w:t>
            </w:r>
            <w:r>
              <w:rPr>
                <w:rFonts w:cs="Verdana; Arial" w:ascii="Verdana; Arial" w:hAnsi="Verdana; Arial"/>
                <w:sz w:val="18"/>
              </w:rPr>
              <w:t xml:space="preserve"> Transmission Corporation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Account Manager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Phone Number: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713-267-4775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Reference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altName w:val=" 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faulk@columbus.rr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2000-11-21T20:32:00Z</dcterms:created>
  <dc:creator>Corp</dc:creator>
  <dc:description/>
  <dc:language>en-CA</dc:language>
  <cp:lastModifiedBy>Corp</cp:lastModifiedBy>
  <dcterms:modified xsi:type="dcterms:W3CDTF">2000-11-21T20:33:00Z</dcterms:modified>
  <cp:revision>1</cp:revision>
  <dc:subject/>
  <dc:title/>
</cp:coreProperties>
</file>