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Verdana" w:hAnsi="Verdana" w:cs="Verdana"/>
        </w:rPr>
      </w:pPr>
      <w:r>
        <w:rPr>
          <w:rFonts w:cs="Verdana" w:ascii="Verdana" w:hAnsi="Verdana"/>
        </w:rPr>
        <w:t>April 6, 2001</w:t>
      </w:r>
    </w:p>
    <w:p>
      <w:pPr>
        <w:pStyle w:val="Heading2"/>
        <w:ind w:hanging="0" w:start="0"/>
        <w:rPr>
          <w:rFonts w:ascii="Verdana" w:hAnsi="Verdana" w:cs="Verdana"/>
        </w:rPr>
      </w:pPr>
      <w:r>
        <w:rPr>
          <w:rFonts w:cs="Verdana"/>
        </w:rPr>
      </w:r>
    </w:p>
    <w:p>
      <w:pPr>
        <w:pStyle w:val="Heading2"/>
        <w:ind w:hanging="0" w:start="0"/>
        <w:rPr/>
      </w:pPr>
      <w:r>
        <w:rPr/>
        <w:t>Amendment to SERVICE AGREEMENT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BodyText"/>
        <w:rPr/>
      </w:pPr>
      <w:r>
        <w:rPr/>
        <w:t>The following are some general Issues that need to be discussed/modified/added to the existing Service Agreement for Stack Manager Lite: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numPr>
          <w:ilvl w:val="0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New Website (URL) ownership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Verdana" w:hAnsi="Verdana" w:cs="Verdana"/>
        </w:rPr>
      </w:pPr>
      <w:r>
        <w:rPr>
          <w:rFonts w:cs="Verdana" w:ascii="Verdana" w:hAnsi="Verdana"/>
        </w:rPr>
        <w:t>Enron vs. Client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Verdana" w:hAnsi="Verdana" w:cs="Verdana"/>
        </w:rPr>
      </w:pPr>
      <w:r>
        <w:rPr>
          <w:rFonts w:cs="Verdana" w:ascii="Verdana" w:hAnsi="Verdana"/>
        </w:rPr>
        <w:t>Enron rights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Verdana" w:hAnsi="Verdana" w:cs="Verdana"/>
        </w:rPr>
      </w:pPr>
      <w:r>
        <w:rPr>
          <w:rFonts w:cs="Verdana" w:ascii="Verdana" w:hAnsi="Verdana"/>
        </w:rPr>
        <w:t>Proprietary property</w:t>
      </w:r>
    </w:p>
    <w:p>
      <w:pPr>
        <w:pStyle w:val="Normal"/>
        <w:numPr>
          <w:ilvl w:val="0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Development of Test environment</w:t>
      </w:r>
    </w:p>
    <w:p>
      <w:pPr>
        <w:pStyle w:val="Normal"/>
        <w:numPr>
          <w:ilvl w:val="0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Limitation of Product Types, Products, Users (if any)</w:t>
      </w:r>
    </w:p>
    <w:p>
      <w:pPr>
        <w:pStyle w:val="Normal"/>
        <w:numPr>
          <w:ilvl w:val="0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Database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Verdana" w:hAnsi="Verdana" w:cs="Verdana"/>
        </w:rPr>
      </w:pPr>
      <w:r>
        <w:rPr>
          <w:rFonts w:cs="Verdana" w:ascii="Verdana" w:hAnsi="Verdana"/>
        </w:rPr>
        <w:t>Unique for each customer?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Verdana" w:hAnsi="Verdana" w:cs="Verdana"/>
        </w:rPr>
      </w:pPr>
      <w:r>
        <w:rPr>
          <w:rFonts w:cs="Verdana" w:ascii="Verdana" w:hAnsi="Verdana"/>
        </w:rPr>
        <w:t>System limitations – Capacity</w:t>
      </w:r>
    </w:p>
    <w:p>
      <w:pPr>
        <w:pStyle w:val="Normal"/>
        <w:numPr>
          <w:ilvl w:val="0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Structured terms vs. Open proposal</w:t>
      </w:r>
    </w:p>
    <w:p>
      <w:pPr>
        <w:pStyle w:val="Normal"/>
        <w:numPr>
          <w:ilvl w:val="0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Usage of Confidential Information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Verdana" w:hAnsi="Verdana" w:cs="Verdana"/>
        </w:rPr>
      </w:pPr>
      <w:r>
        <w:rPr>
          <w:rFonts w:cs="Verdana" w:ascii="Verdana" w:hAnsi="Verdana"/>
        </w:rPr>
        <w:t>Posting prices on other Websites</w:t>
      </w:r>
    </w:p>
    <w:p>
      <w:pPr>
        <w:pStyle w:val="Normal"/>
        <w:numPr>
          <w:ilvl w:val="0"/>
          <w:numId w:val="3"/>
        </w:numPr>
        <w:rPr>
          <w:rFonts w:ascii="Verdana" w:hAnsi="Verdana" w:cs="Verdana"/>
        </w:rPr>
      </w:pPr>
      <w:r>
        <w:rPr>
          <w:rFonts w:cs="Verdana" w:ascii="Verdana" w:hAnsi="Verdana"/>
        </w:rPr>
        <w:t>New Website Content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Verdana" w:hAnsi="Verdana" w:cs="Verdana"/>
        </w:rPr>
      </w:pPr>
      <w:r>
        <w:rPr>
          <w:rFonts w:cs="Verdana" w:ascii="Verdana" w:hAnsi="Verdana"/>
        </w:rPr>
        <w:t>Reuters, Weather, Industry news, etc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Verdana" w:hAnsi="Verdana" w:cs="Verdana"/>
        </w:rPr>
      </w:pPr>
      <w:r>
        <w:rPr>
          <w:rFonts w:cs="Verdana" w:ascii="Verdana" w:hAnsi="Verdana"/>
        </w:rPr>
        <w:t>Maintenance and development of garden content by a PSP</w:t>
      </w:r>
    </w:p>
    <w:p>
      <w:pPr>
        <w:pStyle w:val="Normal"/>
        <w:numPr>
          <w:ilvl w:val="0"/>
          <w:numId w:val="4"/>
        </w:numPr>
        <w:rPr>
          <w:rFonts w:ascii="Verdana" w:hAnsi="Verdana" w:cs="Verdana"/>
        </w:rPr>
      </w:pPr>
      <w:r>
        <w:rPr>
          <w:rFonts w:cs="Verdana" w:ascii="Verdana" w:hAnsi="Verdana"/>
        </w:rPr>
        <w:t>Other Schedules for Service, Development &amp; Customization of new Website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jc w:val="both"/>
        <w:rPr>
          <w:rFonts w:ascii="Verdana" w:hAnsi="Verdana" w:eastAsia="Verdana" w:cs="Verdana"/>
        </w:rPr>
      </w:pPr>
      <w:r>
        <w:rPr>
          <w:rFonts w:eastAsia="Verdana" w:cs="Verdana" w:ascii="Verdana" w:hAnsi="Verdana"/>
        </w:rPr>
        <w:t xml:space="preserve"> </w:t>
      </w:r>
    </w:p>
    <w:p>
      <w:pPr>
        <w:pStyle w:val="Normal"/>
        <w:jc w:val="both"/>
        <w:rPr/>
      </w:pPr>
      <w:r>
        <w:rPr>
          <w:rFonts w:cs="Verdana" w:ascii="Verdana" w:hAnsi="Verdana"/>
        </w:rPr>
        <w:t>The following table details the specific issues &amp; items that need to be modified/deleted from the existing 3</w:t>
      </w:r>
      <w:r>
        <w:rPr>
          <w:rFonts w:cs="Verdana" w:ascii="Verdana" w:hAnsi="Verdana"/>
          <w:vertAlign w:val="superscript"/>
        </w:rPr>
        <w:t>rd</w:t>
      </w:r>
      <w:r>
        <w:rPr>
          <w:rFonts w:cs="Verdana" w:ascii="Verdana" w:hAnsi="Verdana"/>
        </w:rPr>
        <w:t>. Party Stack Manager Service Agreement in order to incorporate the hosting of a unique URL: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06"/>
        <w:gridCol w:w="2448"/>
        <w:gridCol w:w="2452"/>
        <w:gridCol w:w="3252"/>
      </w:tblGrid>
      <w:tr>
        <w:trPr/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</w:r>
          </w:p>
        </w:tc>
      </w:tr>
      <w:tr>
        <w:trPr/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Item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Section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Concept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6"/>
              </w:rPr>
            </w:pPr>
            <w:r>
              <w:rPr>
                <w:sz w:val="16"/>
              </w:rPr>
              <w:t>Change/Discuss</w:t>
            </w:r>
          </w:p>
        </w:tc>
      </w:tr>
      <w:tr>
        <w:trPr/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General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Whereas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Products not to be sold on EnronOnline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Who will own the new Website?</w:t>
            </w:r>
          </w:p>
        </w:tc>
      </w:tr>
      <w:tr>
        <w:trPr>
          <w:trHeight w:val="7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1.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All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Change all EnronOnline references to New Website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Counterparty</w:t>
            </w:r>
          </w:p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Approved by Enron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Delete “and that has been approved by Enron for access to and utilization of EnronOnline.”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New Website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Change to New Website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Products not to be sold on EnronOnline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Who will own the new Website?</w:t>
            </w:r>
          </w:p>
        </w:tc>
      </w:tr>
      <w:tr>
        <w:trPr>
          <w:trHeight w:val="278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Firmness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Type of Supply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Customize according to client</w:t>
            </w:r>
          </w:p>
        </w:tc>
      </w:tr>
      <w:tr>
        <w:trPr>
          <w:trHeight w:val="35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Pipeline Capacity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Product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Customize according to client</w:t>
            </w:r>
          </w:p>
        </w:tc>
      </w:tr>
      <w:tr>
        <w:trPr>
          <w:trHeight w:val="422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Product Long and Short Descriptions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Do not change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Software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Website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Include the New Website in case we will retain ownership and proprietary rights</w:t>
            </w:r>
          </w:p>
        </w:tc>
      </w:tr>
      <w:tr>
        <w:trPr>
          <w:trHeight w:val="26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Tariff/GTC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Contracts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Customize according to client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Test Website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Simulations/Training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Define if we are going to create a lookalike Test Website for each customer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2.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All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Change all EnronOnline references to New Website</w:t>
            </w:r>
          </w:p>
        </w:tc>
      </w:tr>
      <w:tr>
        <w:trPr>
          <w:trHeight w:val="26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a) (iii)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Links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Change EnronOnline</w:t>
            </w:r>
          </w:p>
        </w:tc>
      </w:tr>
      <w:tr>
        <w:trPr>
          <w:trHeight w:val="26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a) (v)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Training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Define how many users are we going to train.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a) (vi)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Product Type and Product limitation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Define if the limitation of P. Types and products is still applicable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d)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Access to The Website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Who will decide if Client is ready to connect to the Website?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If we retain ownership we can decide, but if it is their website?</w:t>
            </w:r>
          </w:p>
        </w:tc>
      </w:tr>
      <w:tr>
        <w:trPr>
          <w:trHeight w:val="242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3.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All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Change all EnronOnline references to New Website</w:t>
            </w:r>
          </w:p>
        </w:tc>
      </w:tr>
      <w:tr>
        <w:trPr>
          <w:trHeight w:val="377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Maintain Services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It is not EnronOnline who provide the services but Enron</w:t>
            </w:r>
          </w:p>
        </w:tc>
      </w:tr>
      <w:tr>
        <w:trPr>
          <w:trHeight w:val="35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5.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All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Change all EnronOnline references to New Website</w:t>
            </w:r>
          </w:p>
        </w:tc>
      </w:tr>
      <w:tr>
        <w:trPr>
          <w:trHeight w:val="26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6.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All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Change all EnronOnline references to New Website</w:t>
            </w:r>
          </w:p>
        </w:tc>
      </w:tr>
      <w:tr>
        <w:trPr>
          <w:trHeight w:val="548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User ID’s &amp; Passwords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Define number of User ID’s and Passwords in case we will want to limit it.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b)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User ID’s &amp; Passwords to Counterparties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Agreed terms between Enron and Counterparty or between “Client” and Counterparty?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Can we terminate in our sole discretion a Counterparty’s access to “The Website”?</w:t>
            </w:r>
          </w:p>
        </w:tc>
      </w:tr>
      <w:tr>
        <w:trPr>
          <w:trHeight w:val="215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7.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All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Change all EnronOnline references to New Website</w:t>
            </w:r>
          </w:p>
        </w:tc>
      </w:tr>
      <w:tr>
        <w:trPr>
          <w:trHeight w:val="44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a) (i)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Connection Fees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Transactions Fee, customize according to client</w:t>
            </w:r>
          </w:p>
        </w:tc>
      </w:tr>
      <w:tr>
        <w:trPr>
          <w:trHeight w:val="44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8.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Term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Modify standard contract 3 vs 5 yrs.</w:t>
            </w:r>
          </w:p>
        </w:tc>
      </w:tr>
      <w:tr>
        <w:trPr>
          <w:trHeight w:val="35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b)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Termination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Termination payments, Schedule C, discuss if needs modification</w:t>
            </w:r>
          </w:p>
        </w:tc>
      </w:tr>
      <w:tr>
        <w:trPr>
          <w:trHeight w:val="395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10.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All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Change all EnronOnline references to New Website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Proprietary Rights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Modify depending on who has ownership of the new website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Proprietary rights, Enron vs. client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b)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Usage of Information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Define limitations of using their Prices &amp; products on other websites</w:t>
            </w:r>
          </w:p>
        </w:tc>
      </w:tr>
      <w:tr>
        <w:trPr>
          <w:trHeight w:val="197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d)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FERC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Customize according to client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g)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Links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Can we use existing content information?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Reuters, Industry news, etc</w:t>
            </w:r>
          </w:p>
        </w:tc>
      </w:tr>
      <w:tr>
        <w:trPr>
          <w:trHeight w:val="422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h)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Website “As is” Basis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Define level of customization and process</w:t>
            </w:r>
          </w:p>
        </w:tc>
      </w:tr>
      <w:tr>
        <w:trPr>
          <w:trHeight w:val="35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11.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All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Change all EnronOnline references to New Website</w:t>
            </w:r>
          </w:p>
        </w:tc>
      </w:tr>
      <w:tr>
        <w:trPr>
          <w:trHeight w:val="35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12.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All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Change all EnronOnline references to New Website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Information Disclosure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Can we use information from the “New Website”?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Analyze it for our purposes?-depends on ownership</w:t>
            </w:r>
          </w:p>
        </w:tc>
      </w:tr>
      <w:tr>
        <w:trPr>
          <w:trHeight w:val="44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15.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All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Change all EnronOnline references to New Website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18.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Integrated Agreement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Modify/Add, if necessary, new Schedule describing the customization of the new Website</w:t>
            </w:r>
          </w:p>
        </w:tc>
      </w:tr>
      <w:tr>
        <w:trPr>
          <w:trHeight w:val="368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Schedule A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All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Change all EnronOnline references to New Website</w:t>
            </w:r>
          </w:p>
        </w:tc>
      </w:tr>
      <w:tr>
        <w:trPr>
          <w:trHeight w:val="242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A.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Initial Setup Fees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TBD</w:t>
            </w:r>
          </w:p>
        </w:tc>
      </w:tr>
      <w:tr>
        <w:trPr>
          <w:trHeight w:val="35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B.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Supplemental products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TBD, if limited number of P. Types, &amp; Products</w:t>
            </w:r>
          </w:p>
        </w:tc>
      </w:tr>
      <w:tr>
        <w:trPr>
          <w:trHeight w:val="215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C.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Core Support Fees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TBD</w:t>
            </w:r>
          </w:p>
        </w:tc>
      </w:tr>
      <w:tr>
        <w:trPr>
          <w:trHeight w:val="17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D.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Supplemental Support Fees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TBD</w:t>
            </w:r>
          </w:p>
        </w:tc>
      </w:tr>
      <w:tr>
        <w:trPr>
          <w:trHeight w:val="17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E.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Transaction Charge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If any, TBD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F.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User ID’s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Differentiate between Stack Manager Users 7 Website users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TBD – Cost and limitation</w:t>
            </w:r>
          </w:p>
        </w:tc>
      </w:tr>
      <w:tr>
        <w:trPr>
          <w:trHeight w:val="26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G.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Invoicing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Modify according to structure</w:t>
            </w:r>
          </w:p>
        </w:tc>
      </w:tr>
      <w:tr>
        <w:trPr>
          <w:trHeight w:val="35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Schedule B.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All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Change all EnronOnline references to New Website</w:t>
            </w:r>
          </w:p>
        </w:tc>
      </w:tr>
      <w:tr>
        <w:trPr>
          <w:trHeight w:val="323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Initial Setup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TBD, if limited number of P. Types, &amp; Products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 (I)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User ID’s &amp; Passwords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Define number of User ID’s and Passwords in case we will want to limit it.</w:t>
            </w:r>
          </w:p>
        </w:tc>
      </w:tr>
      <w:tr>
        <w:trPr>
          <w:trHeight w:val="26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ii) a)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Existing Counterparties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Does it apply?</w:t>
            </w:r>
          </w:p>
        </w:tc>
      </w:tr>
      <w:tr>
        <w:trPr>
          <w:trHeight w:val="413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iii) a)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Legal Documents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Include creation/modification of  ETA &amp; PA</w:t>
            </w:r>
          </w:p>
        </w:tc>
      </w:tr>
      <w:tr>
        <w:trPr>
          <w:trHeight w:val="323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iii) b)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Legal Documents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Include creation/modification of  ETA &amp; PA</w:t>
            </w:r>
          </w:p>
        </w:tc>
      </w:tr>
      <w:tr>
        <w:trPr>
          <w:trHeight w:val="323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iii) d)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Legal Documents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Include creation/modification of  ETA &amp; PA</w:t>
            </w:r>
          </w:p>
        </w:tc>
      </w:tr>
      <w:tr>
        <w:trPr>
          <w:trHeight w:val="323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iv) a)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Migration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Include creation/modification of  ETA &amp; PA</w:t>
            </w:r>
          </w:p>
        </w:tc>
      </w:tr>
      <w:tr>
        <w:trPr>
          <w:trHeight w:val="413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v) a)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Training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Define if limited number of trained users will apply</w:t>
            </w:r>
          </w:p>
        </w:tc>
      </w:tr>
      <w:tr>
        <w:trPr>
          <w:trHeight w:val="413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vi) e)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Legal Documents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Include creation/modification of  ETA &amp; PA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vii) a)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Brochures &amp; Marketing materials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Define Enron’s role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Provide content only for Getting started guides?, etc</w:t>
            </w:r>
          </w:p>
        </w:tc>
      </w:tr>
      <w:tr>
        <w:trPr>
          <w:trHeight w:val="413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vii) c)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Tickers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Does it apply, probably just for new products</w:t>
            </w:r>
          </w:p>
        </w:tc>
      </w:tr>
      <w:tr>
        <w:trPr>
          <w:trHeight w:val="413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B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Change all EnronOnline references to New Website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a)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 Database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Do we have a unique database for each URL?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Do we need to specify it?</w:t>
            </w:r>
          </w:p>
        </w:tc>
      </w:tr>
      <w:tr>
        <w:trPr>
          <w:trHeight w:val="62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b)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EnronOnline Database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Do we have a unique database for each URL?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Do we need to specify it?</w:t>
            </w:r>
          </w:p>
        </w:tc>
      </w:tr>
      <w:tr>
        <w:trPr>
          <w:trHeight w:val="44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Legal Documents Modification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Include creation/modification of  ETA &amp; PA</w:t>
            </w:r>
          </w:p>
        </w:tc>
      </w:tr>
      <w:tr>
        <w:trPr>
          <w:trHeight w:val="44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f)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Help Desk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Define role &amp; service need to be modified</w:t>
            </w:r>
          </w:p>
        </w:tc>
      </w:tr>
      <w:tr>
        <w:trPr>
          <w:trHeight w:val="35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c)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Supplemental Setup &amp; Support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Defien if we will limit the number of P. Types &amp; Products</w:t>
            </w:r>
          </w:p>
        </w:tc>
      </w:tr>
      <w:tr>
        <w:trPr>
          <w:trHeight w:val="35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Schedule C.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i)</w:t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Termination by Client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Define if needs modification</w:t>
            </w:r>
          </w:p>
        </w:tc>
      </w:tr>
      <w:tr>
        <w:trPr>
          <w:trHeight w:val="35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Termination by Enron</w:t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  <w:t>Define if needs modification</w:t>
            </w:r>
          </w:p>
        </w:tc>
      </w:tr>
      <w:tr>
        <w:trPr>
          <w:trHeight w:val="53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OTHER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</w:r>
          </w:p>
        </w:tc>
      </w:tr>
      <w:tr>
        <w:trPr>
          <w:trHeight w:val="530" w:hRule="atLeast"/>
        </w:trPr>
        <w:tc>
          <w:tcPr>
            <w:tcW w:w="1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24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</w:r>
          </w:p>
        </w:tc>
        <w:tc>
          <w:tcPr>
            <w:tcW w:w="3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Verdana" w:hAnsi="Verdana" w:cs="Verdana"/>
                <w:sz w:val="16"/>
              </w:rPr>
            </w:pPr>
            <w:r>
              <w:rPr>
                <w:rFonts w:cs="Verdana" w:ascii="Verdana" w:hAnsi="Verdana"/>
                <w:sz w:val="16"/>
              </w:rPr>
            </w:r>
          </w:p>
        </w:tc>
      </w:tr>
    </w:tbl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rStyle w:val="PageNumber"/>
        <w:rFonts w:cs="Verdana" w:ascii="Verdana" w:hAnsi="Verdana"/>
      </w:rPr>
      <w:fldChar w:fldCharType="begin"/>
    </w:r>
    <w:r>
      <w:rPr>
        <w:rStyle w:val="PageNumber"/>
        <w:rFonts w:cs="Verdana" w:ascii="Verdana" w:hAnsi="Verdana"/>
      </w:rPr>
      <w:instrText xml:space="preserve"> PAGE </w:instrText>
    </w:r>
    <w:r>
      <w:rPr>
        <w:rStyle w:val="PageNumber"/>
        <w:rFonts w:cs="Verdana" w:ascii="Verdana" w:hAnsi="Verdana"/>
      </w:rPr>
      <w:fldChar w:fldCharType="separate"/>
    </w:r>
    <w:r>
      <w:rPr>
        <w:rStyle w:val="PageNumber"/>
        <w:rFonts w:cs="Verdana" w:ascii="Verdana" w:hAnsi="Verdana"/>
      </w:rPr>
      <w:t>4</w:t>
    </w:r>
    <w:r>
      <w:rPr>
        <w:rStyle w:val="PageNumber"/>
        <w:rFonts w:cs="Verdana" w:ascii="Verdana" w:hAnsi="Verdana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center" w:pos="3780" w:leader="none"/>
      </w:tabs>
      <w:rPr>
        <w:rFonts w:ascii="Verdana" w:hAnsi="Verdana" w:cs="Verdana"/>
        <w:sz w:val="16"/>
      </w:rPr>
    </w:pPr>
    <w:r>
      <w:rPr>
        <w:rFonts w:cs="Verdana" w:ascii="Verdana" w:hAnsi="Verdana"/>
        <w:sz w:val="16"/>
      </w:rPr>
      <w:t xml:space="preserve">EnronOnline – Third Party Stack Manager &amp; with unique URL </w:t>
    </w:r>
  </w:p>
  <w:p>
    <w:pPr>
      <w:pStyle w:val="Header"/>
      <w:rPr>
        <w:rFonts w:ascii="Verdana" w:hAnsi="Verdana" w:cs="Verdana"/>
        <w:sz w:val="16"/>
      </w:rPr>
    </w:pPr>
    <w:r>
      <w:rPr>
        <w:rFonts w:cs="Verdana" w:ascii="Verdana" w:hAnsi="Verdana"/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Verdana" w:hAnsi="Verdana" w:cs="Verdana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Verdana" w:hAnsi="Verdana" w:cs="Verdana"/>
      <w:sz w:val="2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Verdana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2001-04-05T22:25:00Z</dcterms:created>
  <dc:creator>Carlos Alatorre</dc:creator>
  <dc:description/>
  <dc:language>en-CA</dc:language>
  <cp:lastModifiedBy>Carlos Alatorre</cp:lastModifiedBy>
  <cp:lastPrinted>2001-04-06T08:30:00Z</cp:lastPrinted>
  <dcterms:modified xsi:type="dcterms:W3CDTF">2001-04-06T11:04:00Z</dcterms:modified>
  <cp:revision>9</cp:revision>
  <dc:subject/>
  <dc:title>The following document describes some of the changes that need to be done to the Service Agreement to incorporate the hosting of a unique URL:</dc:title>
</cp:coreProperties>
</file>