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bCs/>
        </w:rPr>
      </w:pPr>
      <w:r>
        <w:rPr>
          <w:b/>
          <w:bCs/>
        </w:rPr>
        <w:t>HEDGE FUNDS</w:t>
      </w:r>
    </w:p>
    <w:p>
      <w:pPr>
        <w:pStyle w:val="Subtitle"/>
        <w:rPr/>
      </w:pPr>
      <w:r>
        <w:rPr/>
        <w:t>Changes to Standard ISDA Master Agreement</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rPr/>
      </w:pPr>
      <w:r>
        <w:rPr/>
        <w:t>1.</w:t>
        <w:tab/>
        <w:t>Adds Investment Manager as party to the Agreement.</w:t>
      </w:r>
    </w:p>
    <w:p>
      <w:pPr>
        <w:pStyle w:val="Normal"/>
        <w:rPr/>
      </w:pPr>
      <w:r>
        <w:rPr/>
      </w:r>
    </w:p>
    <w:p>
      <w:pPr>
        <w:pStyle w:val="Normal"/>
        <w:ind w:hanging="720" w:start="720" w:end="0"/>
        <w:rPr/>
      </w:pPr>
      <w:r>
        <w:rPr/>
        <w:t>2.</w:t>
        <w:tab/>
        <w:t>Adds the redlined language to the definition of “</w:t>
      </w:r>
      <w:r>
        <w:rPr>
          <w:b/>
          <w:bCs/>
        </w:rPr>
        <w:t>Specified Transaction</w:t>
      </w:r>
      <w:r>
        <w:rPr/>
        <w:t>” in Section 14 of the Agreement:</w:t>
      </w:r>
    </w:p>
    <w:p>
      <w:pPr>
        <w:pStyle w:val="Normal"/>
        <w:ind w:hanging="720" w:start="720" w:end="0"/>
        <w:rPr/>
      </w:pPr>
      <w:r>
        <w:rPr/>
      </w:r>
    </w:p>
    <w:p>
      <w:pPr>
        <w:pStyle w:val="Normal"/>
        <w:ind w:start="720" w:end="0"/>
        <w:rPr/>
      </w:pPr>
      <w:r>
        <w:rPr>
          <w:b/>
          <w:i/>
          <w:iCs/>
          <w:sz w:val="18"/>
        </w:rPr>
        <w:t>“</w:t>
      </w:r>
      <w:r>
        <w:rPr>
          <w:b/>
          <w:i/>
          <w:iCs/>
          <w:sz w:val="18"/>
        </w:rPr>
        <w:t>Specified Transaction”</w:t>
      </w:r>
      <w:r>
        <w:rPr>
          <w:bCs/>
          <w:sz w:val="18"/>
        </w:rPr>
        <w:t xml:space="preserve"> means, subject to the Schedule, (a) any transaction (including an agreement with respect thereto) now existing or hereafter entered into between one party to this Agreement (or any Credit Support Provider of such party or any applicable Specified Entity of such party) and the other party to this Agreement (or any Credit Support Provider of such other party or any applicable Specified Entity of such other party) which is a rate swap transaction, basis swap, forward rate transaction, commodity swap, commodity option, equity or equity index swap, equity or equity index option, bond option, interest rate option, foreign exchange transaction, </w:t>
      </w:r>
      <w:r>
        <w:rPr>
          <w:bCs/>
          <w:sz w:val="18"/>
          <w:u w:val="single"/>
        </w:rPr>
        <w:t>forward contracts, precious metals transactions, letter of credit reimbursement obligations, commodity transaction, credit derivative transaction, repurchase or reverse repurchase transaction, securities lending transaction,</w:t>
      </w:r>
      <w:r>
        <w:rPr>
          <w:bCs/>
          <w:sz w:val="18"/>
        </w:rPr>
        <w:t xml:space="preserve"> cap transaction, floor transaction, collar transaction, currency swap transaction, cross-currency rate swap transaction, currency option or any other similar transaction (including any option with respect to any of these transactions), (b) any combination of these transactions and (c) any other transaction identified as a Specified Transaction in this Agreement or the relevant confirmation.</w:t>
      </w:r>
    </w:p>
    <w:p>
      <w:pPr>
        <w:pStyle w:val="Normal"/>
        <w:ind w:start="720" w:end="0"/>
        <w:rPr>
          <w:bCs/>
          <w:sz w:val="18"/>
        </w:rPr>
      </w:pPr>
      <w:r>
        <w:rPr>
          <w:bCs/>
          <w:sz w:val="18"/>
        </w:rPr>
      </w:r>
    </w:p>
    <w:p>
      <w:pPr>
        <w:pStyle w:val="Normal"/>
        <w:ind w:hanging="720" w:start="720" w:end="0"/>
        <w:rPr/>
      </w:pPr>
      <w:r>
        <w:rPr/>
        <w:t>3.</w:t>
        <w:tab/>
        <w:t>Provides a definition for “</w:t>
      </w:r>
      <w:r>
        <w:rPr>
          <w:b/>
          <w:bCs/>
        </w:rPr>
        <w:t>Specified Indebtedness</w:t>
      </w:r>
      <w:r>
        <w:rPr/>
        <w:t>” that includes Section 14 definition, “as well as all reimbursement obligations in respect of letters of credit or financial guaranty insurance issued for its account” and “all Derivatives Transactions (other than any Specified Transaction between Enron and Hedge Fund) of that party.”</w:t>
      </w:r>
    </w:p>
    <w:p>
      <w:pPr>
        <w:pStyle w:val="Normal"/>
        <w:ind w:hanging="720" w:start="720" w:end="0"/>
        <w:rPr/>
      </w:pPr>
      <w:r>
        <w:rPr/>
      </w:r>
    </w:p>
    <w:p>
      <w:pPr>
        <w:pStyle w:val="Normal"/>
        <w:ind w:hanging="720" w:start="720" w:end="0"/>
        <w:rPr/>
      </w:pPr>
      <w:r>
        <w:rPr/>
        <w:tab/>
        <w:t>Defines “</w:t>
      </w:r>
      <w:r>
        <w:rPr>
          <w:b/>
          <w:bCs/>
        </w:rPr>
        <w:t>Derivative Transaction</w:t>
      </w:r>
      <w:r>
        <w:rPr/>
        <w:t>”.</w:t>
      </w:r>
    </w:p>
    <w:p>
      <w:pPr>
        <w:pStyle w:val="Normal"/>
        <w:ind w:hanging="720" w:start="720" w:end="0"/>
        <w:rPr/>
      </w:pPr>
      <w:r>
        <w:rPr/>
      </w:r>
    </w:p>
    <w:p>
      <w:pPr>
        <w:pStyle w:val="Normal"/>
        <w:ind w:hanging="720" w:start="720" w:end="0"/>
        <w:rPr/>
      </w:pPr>
      <w:r>
        <w:rPr/>
        <w:t>4.</w:t>
        <w:tab/>
        <w:t xml:space="preserve">Adds fourteen (14) </w:t>
      </w:r>
      <w:r>
        <w:rPr>
          <w:b/>
          <w:bCs/>
        </w:rPr>
        <w:t>Additional Termination Events</w:t>
      </w:r>
      <w:r>
        <w:rPr/>
        <w:t>:</w:t>
      </w:r>
    </w:p>
    <w:p>
      <w:pPr>
        <w:pStyle w:val="Normal"/>
        <w:ind w:hanging="720" w:start="720" w:end="0"/>
        <w:rPr/>
      </w:pPr>
      <w:r>
        <w:rPr/>
      </w:r>
    </w:p>
    <w:p>
      <w:pPr>
        <w:pStyle w:val="BodyTextIndent"/>
        <w:rPr/>
      </w:pPr>
      <w:r>
        <w:rPr/>
        <w:t>a.</w:t>
        <w:tab/>
        <w:t>Decline in Hedge Fund’s Net Asset Value (20% in one month; 30% in three months; 35% in 12 months</w:t>
      </w:r>
    </w:p>
    <w:p>
      <w:pPr>
        <w:pStyle w:val="Normal"/>
        <w:ind w:hanging="720" w:start="1440" w:end="0"/>
        <w:rPr/>
      </w:pPr>
      <w:r>
        <w:rPr/>
      </w:r>
    </w:p>
    <w:p>
      <w:pPr>
        <w:pStyle w:val="Normal"/>
        <w:ind w:hanging="720" w:start="1440" w:end="0"/>
        <w:rPr/>
      </w:pPr>
      <w:r>
        <w:rPr/>
        <w:t>b.</w:t>
        <w:tab/>
        <w:t>Ratio of Hedge Fund’s Liabilities to Hedge Fund’s Net Asset Value is greater than a certain ratio</w:t>
      </w:r>
    </w:p>
    <w:p>
      <w:pPr>
        <w:pStyle w:val="Normal"/>
        <w:ind w:hanging="720" w:start="1440" w:end="0"/>
        <w:rPr/>
      </w:pPr>
      <w:r>
        <w:rPr/>
      </w:r>
    </w:p>
    <w:p>
      <w:pPr>
        <w:pStyle w:val="Normal"/>
        <w:ind w:hanging="720" w:start="1440" w:end="0"/>
        <w:rPr/>
      </w:pPr>
      <w:r>
        <w:rPr/>
        <w:t>c.</w:t>
        <w:tab/>
        <w:t>Hedge Fund’s Net Asset Value falls below set amount</w:t>
      </w:r>
    </w:p>
    <w:p>
      <w:pPr>
        <w:pStyle w:val="Normal"/>
        <w:ind w:hanging="720" w:start="1440" w:end="0"/>
        <w:rPr/>
      </w:pPr>
      <w:r>
        <w:rPr/>
      </w:r>
    </w:p>
    <w:p>
      <w:pPr>
        <w:pStyle w:val="Normal"/>
        <w:ind w:hanging="720" w:start="1440" w:end="0"/>
        <w:rPr/>
      </w:pPr>
      <w:r>
        <w:rPr/>
        <w:t>d.</w:t>
        <w:tab/>
        <w:t>Hedge Fund’s Manager is unacceptable to Party A.</w:t>
      </w:r>
    </w:p>
    <w:p>
      <w:pPr>
        <w:pStyle w:val="Normal"/>
        <w:ind w:start="720" w:end="0"/>
        <w:rPr/>
      </w:pPr>
      <w:r>
        <w:rPr/>
      </w:r>
    </w:p>
    <w:p>
      <w:pPr>
        <w:pStyle w:val="BodyTextIndent"/>
        <w:rPr/>
      </w:pPr>
      <w:r>
        <w:rPr/>
        <w:t>e.</w:t>
        <w:tab/>
        <w:t>Management Agreement between Hedge Fund and Manager of Hedge Fund is terminated by either party</w:t>
      </w:r>
    </w:p>
    <w:p>
      <w:pPr>
        <w:pStyle w:val="Normal"/>
        <w:ind w:hanging="720" w:start="1440" w:end="0"/>
        <w:rPr/>
      </w:pPr>
      <w:r>
        <w:rPr/>
      </w:r>
    </w:p>
    <w:p>
      <w:pPr>
        <w:pStyle w:val="Normal"/>
        <w:ind w:hanging="720" w:start="1440" w:end="0"/>
        <w:rPr/>
      </w:pPr>
      <w:r>
        <w:rPr/>
        <w:t>f.</w:t>
        <w:tab/>
        <w:t>Management Agreement or Investment Policy of Hedge Fund breached by either Manager or Hedge Fund</w:t>
      </w:r>
    </w:p>
    <w:p>
      <w:pPr>
        <w:pStyle w:val="Normal"/>
        <w:ind w:hanging="720" w:start="1440" w:end="0"/>
        <w:rPr/>
      </w:pPr>
      <w:r>
        <w:rPr/>
      </w:r>
    </w:p>
    <w:p>
      <w:pPr>
        <w:pStyle w:val="BodyTextIndent"/>
        <w:rPr/>
      </w:pPr>
      <w:r>
        <w:rPr/>
        <w:t>g.</w:t>
        <w:tab/>
        <w:t>[Specified person] dies, suffers an Incompentency Event or otherwise ceases to act on behalf of  [Manager and] Hedge Fund</w:t>
      </w:r>
    </w:p>
    <w:p>
      <w:pPr>
        <w:pStyle w:val="Normal"/>
        <w:ind w:hanging="720" w:start="1440" w:end="0"/>
        <w:rPr>
          <w:b/>
          <w:bCs/>
        </w:rPr>
      </w:pPr>
      <w:r>
        <w:rPr>
          <w:b/>
          <w:bCs/>
        </w:rPr>
      </w:r>
    </w:p>
    <w:p>
      <w:pPr>
        <w:pStyle w:val="BodyTextIndent"/>
        <w:rPr/>
      </w:pPr>
      <w:r>
        <w:rPr/>
        <w:t>h.</w:t>
        <w:tab/>
        <w:t>[Specified documents] are amended or modified in a manner which, in the commercially reasonable judgment of Enron, [would/may have] a material advers effect on Enron</w:t>
      </w:r>
    </w:p>
    <w:p>
      <w:pPr>
        <w:pStyle w:val="Normal"/>
        <w:ind w:hanging="720" w:start="1440" w:end="0"/>
        <w:rPr/>
      </w:pPr>
      <w:r>
        <w:rPr/>
      </w:r>
    </w:p>
    <w:p>
      <w:pPr>
        <w:pStyle w:val="Normal"/>
        <w:ind w:hanging="720" w:start="1440" w:end="0"/>
        <w:rPr/>
      </w:pPr>
      <w:r>
        <w:rPr/>
        <w:t>i.</w:t>
        <w:tab/>
        <w:t>Hedge Fund fails to notify Enron of the Hedge Fund’s Net Asset Value within two business days of following the last business day of each month or within two business days of a request from Enron</w:t>
      </w:r>
    </w:p>
    <w:p>
      <w:pPr>
        <w:pStyle w:val="Normal"/>
        <w:ind w:hanging="720" w:start="1440" w:end="0"/>
        <w:rPr/>
      </w:pPr>
      <w:r>
        <w:rPr/>
      </w:r>
    </w:p>
    <w:p>
      <w:pPr>
        <w:pStyle w:val="Normal"/>
        <w:ind w:hanging="720" w:start="1440" w:end="0"/>
        <w:rPr/>
      </w:pPr>
      <w:r>
        <w:rPr/>
        <w:t>j.</w:t>
        <w:tab/>
        <w:t>The method of calculating the Hedge Fund’s Net Asset Value is amended or altered [without the prior written consent of Enron][in a manner which in the commercially reasonable judgment of Enron, [would/may have] a material and adverse effect on Enron under the Agreement or any Transaction thereunder</w:t>
      </w:r>
    </w:p>
    <w:p>
      <w:pPr>
        <w:pStyle w:val="Normal"/>
        <w:ind w:hanging="720" w:start="1440" w:end="0"/>
        <w:rPr/>
      </w:pPr>
      <w:r>
        <w:rPr/>
      </w:r>
    </w:p>
    <w:p>
      <w:pPr>
        <w:pStyle w:val="Normal"/>
        <w:ind w:hanging="720" w:start="1440" w:end="0"/>
        <w:rPr/>
      </w:pPr>
      <w:r>
        <w:rPr/>
        <w:t>k.</w:t>
        <w:tab/>
        <w:t>Any representation or warranty made or deemed made by the Manager hereunder proves false or misleading when made or deemed made, or if the Investment Manager defaults in the fulfillment of any obligation bidning upon it under the Agreement whether in its individual capacity or as investment manager for the Hedge Fund</w:t>
      </w:r>
    </w:p>
    <w:p>
      <w:pPr>
        <w:pStyle w:val="Normal"/>
        <w:ind w:hanging="720" w:start="1440" w:end="0"/>
        <w:rPr/>
      </w:pPr>
      <w:r>
        <w:rPr/>
      </w:r>
    </w:p>
    <w:p>
      <w:pPr>
        <w:pStyle w:val="Normal"/>
        <w:ind w:hanging="720" w:start="1440" w:end="0"/>
        <w:rPr/>
      </w:pPr>
      <w:r>
        <w:rPr/>
        <w:t>l.</w:t>
        <w:tab/>
        <w:t>The failure of the Hedge Fund to notify Enron of the occurrence of any Additional Termination Event within fifteen days of the occurrence os said Additional Termination Event</w:t>
      </w:r>
    </w:p>
    <w:p>
      <w:pPr>
        <w:pStyle w:val="Normal"/>
        <w:ind w:hanging="720" w:start="1440" w:end="0"/>
        <w:rPr/>
      </w:pPr>
      <w:r>
        <w:rPr/>
      </w:r>
    </w:p>
    <w:p>
      <w:pPr>
        <w:pStyle w:val="Normal"/>
        <w:rPr/>
      </w:pPr>
      <w:r>
        <w:rPr/>
        <w:t>5.</w:t>
        <w:tab/>
        <w:t>Additional Documents to be Delivered</w:t>
      </w:r>
    </w:p>
    <w:p>
      <w:pPr>
        <w:pStyle w:val="Normal"/>
        <w:rPr/>
      </w:pPr>
      <w:r>
        <w:rPr/>
      </w:r>
    </w:p>
    <w:p>
      <w:pPr>
        <w:pStyle w:val="BodyTextIndent"/>
        <w:rPr/>
      </w:pPr>
      <w:r>
        <w:rPr/>
        <w:t>a.</w:t>
        <w:tab/>
        <w:t>Tax forms (i) upon reasonable demand by Enron or any Specified Entity or (ii) upon learning that any such form or document previously provided has become obsolete or incorrect</w:t>
      </w:r>
    </w:p>
    <w:p>
      <w:pPr>
        <w:pStyle w:val="Normal"/>
        <w:ind w:hanging="720" w:start="1440" w:end="0"/>
        <w:rPr/>
      </w:pPr>
      <w:r>
        <w:rPr/>
      </w:r>
    </w:p>
    <w:p>
      <w:pPr>
        <w:pStyle w:val="Normal"/>
        <w:ind w:hanging="720" w:start="1440" w:end="0"/>
        <w:rPr/>
      </w:pPr>
      <w:r>
        <w:rPr/>
        <w:t>b.</w:t>
        <w:tab/>
        <w:t xml:space="preserve">Investment Management Agreement </w:t>
      </w:r>
    </w:p>
    <w:p>
      <w:pPr>
        <w:pStyle w:val="Normal"/>
        <w:ind w:hanging="720" w:start="1440" w:end="0"/>
        <w:rPr/>
      </w:pPr>
      <w:r>
        <w:rPr/>
      </w:r>
    </w:p>
    <w:p>
      <w:pPr>
        <w:pStyle w:val="Normal"/>
        <w:ind w:hanging="720" w:start="1440" w:end="0"/>
        <w:rPr/>
      </w:pPr>
      <w:r>
        <w:rPr/>
        <w:t>c.</w:t>
        <w:tab/>
        <w:t xml:space="preserve">Power of Attorney – Issued by Hedge Fund in favor of Investment Manager </w:t>
        <w:tab/>
      </w:r>
    </w:p>
    <w:p>
      <w:pPr>
        <w:pStyle w:val="Normal"/>
        <w:ind w:hanging="720" w:start="1440" w:end="0"/>
        <w:rPr/>
      </w:pPr>
      <w:r>
        <w:rPr/>
      </w:r>
    </w:p>
    <w:p>
      <w:pPr>
        <w:pStyle w:val="Normal"/>
        <w:ind w:hanging="720" w:start="1440" w:end="0"/>
        <w:rPr/>
      </w:pPr>
      <w:r>
        <w:rPr/>
        <w:t>d.</w:t>
        <w:tab/>
        <w:t>Trading authorization – Issued by Hedge Fund in favor of Investment Manager</w:t>
      </w:r>
    </w:p>
    <w:p>
      <w:pPr>
        <w:pStyle w:val="Normal"/>
        <w:ind w:hanging="720" w:start="1440" w:end="0"/>
        <w:rPr/>
      </w:pPr>
      <w:r>
        <w:rPr/>
      </w:r>
    </w:p>
    <w:p>
      <w:pPr>
        <w:pStyle w:val="Normal"/>
        <w:ind w:hanging="720" w:start="1440" w:end="0"/>
        <w:rPr/>
      </w:pPr>
      <w:r>
        <w:rPr/>
        <w:t>e.</w:t>
        <w:tab/>
        <w:t>Statement of Accounting Principles in repect of Hedge Fund (describing the method for calculating the Net Asset Value of Hedge Fund)</w:t>
      </w:r>
    </w:p>
    <w:p>
      <w:pPr>
        <w:pStyle w:val="Normal"/>
        <w:ind w:hanging="720" w:start="1440" w:end="0"/>
        <w:rPr/>
      </w:pPr>
      <w:r>
        <w:rPr/>
      </w:r>
    </w:p>
    <w:p>
      <w:pPr>
        <w:pStyle w:val="Normal"/>
        <w:ind w:hanging="720" w:start="1440" w:end="0"/>
        <w:rPr/>
      </w:pPr>
      <w:r>
        <w:rPr/>
        <w:t>[f.</w:t>
        <w:tab/>
        <w:t>Investment Manager’s Letter ]</w:t>
      </w:r>
    </w:p>
    <w:p>
      <w:pPr>
        <w:pStyle w:val="Normal"/>
        <w:ind w:hanging="720" w:start="1440" w:end="0"/>
        <w:rPr/>
      </w:pPr>
      <w:r>
        <w:rPr/>
      </w:r>
    </w:p>
    <w:p>
      <w:pPr>
        <w:pStyle w:val="BodyTextIndent2"/>
        <w:rPr/>
      </w:pPr>
      <w:r>
        <w:rPr/>
        <w:t>6.</w:t>
        <w:tab/>
        <w:t>Statement that each transaction will comply with all applicable laws, rules, regulations, etc.</w:t>
      </w:r>
    </w:p>
    <w:p>
      <w:pPr>
        <w:pStyle w:val="Normal"/>
        <w:ind w:hanging="720" w:start="720" w:end="0"/>
        <w:rPr/>
      </w:pPr>
      <w:r>
        <w:rPr/>
      </w:r>
    </w:p>
    <w:p>
      <w:pPr>
        <w:pStyle w:val="Normal"/>
        <w:ind w:hanging="720" w:start="720" w:end="0"/>
        <w:rPr/>
      </w:pPr>
      <w:r>
        <w:rPr/>
        <w:t>7.</w:t>
        <w:tab/>
        <w:t>Warranties of Hedge Fund and Investment Manager:</w:t>
      </w:r>
    </w:p>
    <w:p>
      <w:pPr>
        <w:pStyle w:val="Normal"/>
        <w:ind w:hanging="720" w:start="720" w:end="0"/>
        <w:rPr/>
      </w:pPr>
      <w:r>
        <w:rPr/>
      </w:r>
    </w:p>
    <w:p>
      <w:pPr>
        <w:pStyle w:val="Normal"/>
        <w:ind w:hanging="720" w:start="1440" w:end="0"/>
        <w:rPr/>
      </w:pPr>
      <w:r>
        <w:rPr/>
        <w:t>a.</w:t>
        <w:tab/>
        <w:t>Due authorizatin of Investment Manager by Hedge Fund and ability to rely on Investment Manager’s instructions</w:t>
      </w:r>
    </w:p>
    <w:p>
      <w:pPr>
        <w:pStyle w:val="Normal"/>
        <w:ind w:hanging="720" w:start="1440" w:end="0"/>
        <w:rPr/>
      </w:pPr>
      <w:r>
        <w:rPr/>
      </w:r>
    </w:p>
    <w:p>
      <w:pPr>
        <w:pStyle w:val="Normal"/>
        <w:ind w:hanging="720" w:start="1440" w:end="0"/>
        <w:rPr/>
      </w:pPr>
      <w:r>
        <w:rPr/>
        <w:t>b.</w:t>
        <w:tab/>
        <w:t>Transactions entered into by Investment Manager are done on behalf of Hedge Fund and constitute legal, valid and binding obligations of Hedge Fund</w:t>
      </w:r>
    </w:p>
    <w:p>
      <w:pPr>
        <w:pStyle w:val="Normal"/>
        <w:ind w:hanging="720" w:start="1440" w:end="0"/>
        <w:rPr/>
      </w:pPr>
      <w:r>
        <w:rPr/>
      </w:r>
    </w:p>
    <w:p>
      <w:pPr>
        <w:pStyle w:val="Normal"/>
        <w:ind w:hanging="720" w:start="1440" w:end="0"/>
        <w:rPr/>
      </w:pPr>
      <w:r>
        <w:rPr/>
        <w:t>c.</w:t>
        <w:tab/>
        <w:t>Hedge Fund has full legal capacity to enter into Agreement and Transactions through Investment Manager’s Agency</w:t>
      </w:r>
    </w:p>
    <w:p>
      <w:pPr>
        <w:pStyle w:val="Normal"/>
        <w:ind w:hanging="720" w:start="1440" w:end="0"/>
        <w:rPr/>
      </w:pPr>
      <w:r>
        <w:rPr/>
      </w:r>
    </w:p>
    <w:p>
      <w:pPr>
        <w:pStyle w:val="BodyTextIndent2"/>
        <w:rPr/>
      </w:pPr>
      <w:r>
        <w:rPr/>
        <w:t>8.</w:t>
        <w:tab/>
        <w:t>Additional Agreements – Hedge Fund will notify Enron of: (a) changes to Operative Document, Investment Management Agreement, etc.; (b) Potential Events of Default, Events of Default or Termination Event; (c) any material pending or existing litigation, action, claim or proceeding which will adversely affect the ability of the Hedge Fund to perform its obligations under the Agreement</w:t>
      </w:r>
    </w:p>
    <w:p>
      <w:pPr>
        <w:pStyle w:val="Normal"/>
        <w:ind w:hanging="720" w:start="720" w:end="0"/>
        <w:rPr/>
      </w:pPr>
      <w:r>
        <w:rPr/>
      </w:r>
    </w:p>
    <w:p>
      <w:pPr>
        <w:pStyle w:val="Normal"/>
        <w:ind w:hanging="720" w:start="720" w:end="0"/>
        <w:rPr/>
      </w:pPr>
      <w:r>
        <w:rPr/>
        <w:t>9.</w:t>
        <w:tab/>
        <w:t>Additional Representations of Investment Manager:</w:t>
      </w:r>
    </w:p>
    <w:p>
      <w:pPr>
        <w:pStyle w:val="Normal"/>
        <w:ind w:hanging="720" w:start="720" w:end="0"/>
        <w:rPr/>
      </w:pPr>
      <w:r>
        <w:rPr/>
      </w:r>
    </w:p>
    <w:p>
      <w:pPr>
        <w:pStyle w:val="Normal"/>
        <w:ind w:hanging="720" w:start="720" w:end="0"/>
        <w:rPr/>
      </w:pPr>
      <w:r>
        <w:rPr/>
        <w:tab/>
        <w:t>a.</w:t>
        <w:tab/>
        <w:t>Duly organized, existing and in good standing</w:t>
      </w:r>
    </w:p>
    <w:p>
      <w:pPr>
        <w:pStyle w:val="Normal"/>
        <w:ind w:hanging="720" w:start="720" w:end="0"/>
        <w:rPr/>
      </w:pPr>
      <w:r>
        <w:rPr/>
      </w:r>
    </w:p>
    <w:p>
      <w:pPr>
        <w:pStyle w:val="BodyTextIndent"/>
        <w:rPr/>
      </w:pPr>
      <w:r>
        <w:rPr/>
        <w:t>b.</w:t>
        <w:tab/>
        <w:t>It is an investment adviser duly registered under the Investment Adviser Act of 1940</w:t>
      </w:r>
    </w:p>
    <w:p>
      <w:pPr>
        <w:pStyle w:val="Normal"/>
        <w:ind w:hanging="720" w:start="1440" w:end="0"/>
        <w:rPr/>
      </w:pPr>
      <w:r>
        <w:rPr/>
      </w:r>
    </w:p>
    <w:p>
      <w:pPr>
        <w:pStyle w:val="Normal"/>
        <w:ind w:hanging="720" w:start="1440" w:end="0"/>
        <w:rPr/>
      </w:pPr>
      <w:r>
        <w:rPr/>
        <w:t>c.</w:t>
        <w:tab/>
        <w:t>It will enter into a Transaction only when the assets in the accounts of the Hedge Fund are sufficient to meet the obligations resulting from such Transaction</w:t>
      </w:r>
    </w:p>
    <w:p>
      <w:pPr>
        <w:pStyle w:val="Normal"/>
        <w:ind w:hanging="720" w:start="1440" w:end="0"/>
        <w:rPr/>
      </w:pPr>
      <w:r>
        <w:rPr/>
      </w:r>
    </w:p>
    <w:p>
      <w:pPr>
        <w:pStyle w:val="Normal"/>
        <w:ind w:hanging="720" w:start="720" w:end="0"/>
        <w:rPr/>
      </w:pPr>
      <w:r>
        <w:rPr/>
        <w:t>10.</w:t>
        <w:tab/>
        <w:t>Signature blocks provided for Investment Manager</w:t>
      </w:r>
    </w:p>
    <w:p>
      <w:pPr>
        <w:pStyle w:val="Normal"/>
        <w:ind w:hanging="720" w:start="720" w:end="0"/>
        <w:rPr/>
      </w:pPr>
      <w:r>
        <w:rPr/>
      </w:r>
    </w:p>
    <w:p>
      <w:pPr>
        <w:pStyle w:val="Normal"/>
        <w:ind w:hanging="720" w:start="720" w:end="0"/>
        <w:rPr/>
      </w:pPr>
      <w:r>
        <w:rPr/>
        <w:t>11,</w:t>
        <w:tab/>
        <w:t>Additional Termination Event(s) marked as a Specified Condition for Hedge Fund in Paragraph 13(d) of Credit Support Annex.</w:t>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rPr>
  </w:style>
  <w:style w:type="paragraph" w:styleId="BodyTextIndent">
    <w:name w:val="Body Text Indent"/>
    <w:basedOn w:val="Normal"/>
    <w:pPr>
      <w:ind w:hanging="720" w:start="1440" w:end="0"/>
    </w:pPr>
    <w:rPr/>
  </w:style>
  <w:style w:type="paragraph" w:styleId="BodyTextIndent2">
    <w:name w:val="Body Text Indent 2"/>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2001-05-31T10:57:00Z</dcterms:created>
  <dc:creator>fsayre</dc:creator>
  <dc:description/>
  <dc:language>en-CA</dc:language>
  <cp:lastModifiedBy>fsayre</cp:lastModifiedBy>
  <cp:lastPrinted>2001-05-31T13:56:00Z</cp:lastPrinted>
  <dcterms:modified xsi:type="dcterms:W3CDTF">2001-05-31T16:59:00Z</dcterms:modified>
  <cp:revision>3</cp:revision>
  <dc:subject/>
  <dc:title>HEDGE FUNDS</dc:title>
</cp:coreProperties>
</file>