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Arial" w:hAnsi="Helv;Arial" w:cs="Helv;Arial"/>
          <w:color w:val="000000"/>
          <w:sz w:val="20"/>
          <w:szCs w:val="20"/>
        </w:rPr>
      </w:pPr>
      <w:r>
        <w:rPr>
          <w:rFonts w:cs="Helv;Arial" w:ascii="Helv;Arial" w:hAnsi="Helv;Arial"/>
          <w:color w:val="000000"/>
          <w:sz w:val="20"/>
          <w:szCs w:val="20"/>
        </w:rPr>
        <w:drawing>
          <wp:inline distT="0" distB="0" distL="0" distR="0">
            <wp:extent cx="746760" cy="746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4" t="-54" r="-54" b="-54"/>
                    <a:stretch>
                      <a:fillRect/>
                    </a:stretch>
                  </pic:blipFill>
                  <pic:spPr bwMode="auto">
                    <a:xfrm>
                      <a:off x="0" y="0"/>
                      <a:ext cx="746760" cy="7467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2362200</wp:posOffset>
                </wp:positionH>
                <wp:positionV relativeFrom="paragraph">
                  <wp:posOffset>457200</wp:posOffset>
                </wp:positionV>
                <wp:extent cx="2057400" cy="457200"/>
                <wp:effectExtent l="0" t="0" r="0" b="0"/>
                <wp:wrapNone/>
                <wp:docPr id="2" name="Frame2"/>
                <a:graphic xmlns:a="http://schemas.openxmlformats.org/drawingml/2006/main">
                  <a:graphicData uri="http://schemas.microsoft.com/office/word/2010/wordprocessingShape">
                    <wps:wsp>
                      <wps:cNvSpPr txBox="1"/>
                      <wps:spPr>
                        <a:xfrm>
                          <a:off x="0" y="0"/>
                          <a:ext cx="2057400" cy="457200"/>
                        </a:xfrm>
                        <a:prstGeom prst="rect"/>
                        <a:solidFill>
                          <a:srgbClr val="FFFFFF">
                            <a:alpha val="0"/>
                          </a:srgbClr>
                        </a:solidFill>
                      </wps:spPr>
                      <wps:txbx>
                        <w:txbxContent>
                          <w:p>
                            <w:pPr>
                              <w:pStyle w:val="Heading1"/>
                              <w:ind w:hanging="0" w:start="0"/>
                              <w:rPr/>
                            </w:pPr>
                            <w:r>
                              <w:rPr/>
                              <w:t xml:space="preserve">M E M O R A N D U M </w:t>
                            </w:r>
                          </w:p>
                        </w:txbxContent>
                      </wps:txbx>
                      <wps:bodyPr anchor="t" lIns="92075" tIns="46355" rIns="92075" bIns="46355">
                        <a:noAutofit/>
                      </wps:bodyPr>
                    </wps:wsp>
                  </a:graphicData>
                </a:graphic>
              </wp:anchor>
            </w:drawing>
          </mc:Choice>
          <mc:Fallback>
            <w:pict>
              <v:rect fillcolor="#FFFFFF" style="position:absolute;rotation:-0;width:162pt;height:36pt;mso-wrap-distance-left:9.05pt;mso-wrap-distance-right:9.05pt;mso-wrap-distance-top:0pt;mso-wrap-distance-bottom:0pt;margin-top:36pt;mso-position-vertical-relative:text;margin-left:186pt;mso-position-horizontal-relative:text">
                <v:fill opacity="0f"/>
                <v:textbox inset="0.100694444444444in,0.0506944444444444in,0.100694444444444in,0.0506944444444444in">
                  <w:txbxContent>
                    <w:p>
                      <w:pPr>
                        <w:pStyle w:val="Heading1"/>
                        <w:ind w:hanging="0" w:start="0"/>
                        <w:rPr/>
                      </w:pPr>
                      <w:r>
                        <w:rPr/>
                        <w:t xml:space="preserve">M E M O R A N D U M </w:t>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5257800</wp:posOffset>
                </wp:positionH>
                <wp:positionV relativeFrom="paragraph">
                  <wp:posOffset>228600</wp:posOffset>
                </wp:positionV>
                <wp:extent cx="1524000" cy="914400"/>
                <wp:effectExtent l="0" t="0" r="0" b="0"/>
                <wp:wrapNone/>
                <wp:docPr id="3" name="Frame1"/>
                <a:graphic xmlns:a="http://schemas.openxmlformats.org/drawingml/2006/main">
                  <a:graphicData uri="http://schemas.microsoft.com/office/word/2010/wordprocessingShape">
                    <wps:wsp>
                      <wps:cNvSpPr txBox="1"/>
                      <wps:spPr>
                        <a:xfrm>
                          <a:off x="0" y="0"/>
                          <a:ext cx="1524000" cy="914400"/>
                        </a:xfrm>
                        <a:prstGeom prst="rect"/>
                        <a:solidFill>
                          <a:srgbClr val="FFFFFF">
                            <a:alpha val="0"/>
                          </a:srgbClr>
                        </a:solidFill>
                      </wps:spPr>
                      <wps:txbx>
                        <w:txbxContent>
                          <w:p>
                            <w:pPr>
                              <w:pStyle w:val="Heading6"/>
                              <w:ind w:hanging="0" w:start="0"/>
                              <w:rPr/>
                            </w:pPr>
                            <w:r>
                              <w:rPr/>
                              <w:t>DRAFT</w:t>
                            </w:r>
                          </w:p>
                        </w:txbxContent>
                      </wps:txbx>
                      <wps:bodyPr anchor="t" lIns="92075" tIns="46355" rIns="92075" bIns="46355">
                        <a:noAutofit/>
                      </wps:bodyPr>
                    </wps:wsp>
                  </a:graphicData>
                </a:graphic>
              </wp:anchor>
            </w:drawing>
          </mc:Choice>
          <mc:Fallback>
            <w:pict>
              <v:rect fillcolor="#FFFFFF" style="position:absolute;rotation:-0;width:120pt;height:72pt;mso-wrap-distance-left:9.05pt;mso-wrap-distance-right:9.05pt;mso-wrap-distance-top:0pt;mso-wrap-distance-bottom:0pt;margin-top:18pt;mso-position-vertical-relative:text;margin-left:414pt;mso-position-horizontal-relative:text">
                <v:fill opacity="0f"/>
                <v:textbox inset="0.100694444444444in,0.0506944444444444in,0.100694444444444in,0.0506944444444444in">
                  <w:txbxContent>
                    <w:p>
                      <w:pPr>
                        <w:pStyle w:val="Heading6"/>
                        <w:ind w:hanging="0" w:start="0"/>
                        <w:rPr/>
                      </w:pPr>
                      <w:r>
                        <w:rPr/>
                        <w:t>DRAFT</w:t>
                      </w:r>
                    </w:p>
                  </w:txbxContent>
                </v:textbox>
                <w10:wrap type="none"/>
              </v:rect>
            </w:pict>
          </mc:Fallback>
        </mc:AlternateContent>
      </w:r>
    </w:p>
    <w:p>
      <w:pPr>
        <w:pStyle w:val="Normal"/>
        <w:rPr>
          <w:rFonts w:ascii="Helv;Arial" w:hAnsi="Helv;Arial" w:cs="Helv;Arial"/>
          <w:color w:val="000000"/>
          <w:sz w:val="22"/>
          <w:szCs w:val="20"/>
        </w:rPr>
      </w:pPr>
      <w:r>
        <w:rPr>
          <w:rFonts w:cs="Helv;Arial" w:ascii="Helv;Arial" w:hAnsi="Helv;Arial"/>
          <w:color w:val="000000"/>
          <w:sz w:val="22"/>
          <w:szCs w:val="20"/>
        </w:rPr>
      </w:r>
    </w:p>
    <w:p>
      <w:pPr>
        <w:pStyle w:val="Normal"/>
        <w:rPr>
          <w:rFonts w:ascii="Helv;Arial" w:hAnsi="Helv;Arial" w:cs="Helv;Arial"/>
          <w:color w:val="000000"/>
          <w:sz w:val="22"/>
          <w:szCs w:val="20"/>
        </w:rPr>
      </w:pPr>
      <w:r>
        <w:rPr>
          <w:rFonts w:cs="Helv;Arial" w:ascii="Helv;Arial" w:hAnsi="Helv;Arial"/>
          <w:color w:val="000000"/>
          <w:sz w:val="22"/>
          <w:szCs w:val="20"/>
        </w:rPr>
        <w:t>Attorney-Client-Privilege</w:t>
      </w:r>
    </w:p>
    <w:p>
      <w:pPr>
        <w:pStyle w:val="Normal"/>
        <w:rPr>
          <w:rFonts w:ascii="Helv;Arial" w:hAnsi="Helv;Arial" w:cs="Helv;Arial"/>
          <w:color w:val="000000"/>
          <w:sz w:val="22"/>
          <w:szCs w:val="20"/>
        </w:rPr>
      </w:pPr>
      <w:r>
        <w:rPr>
          <w:rFonts w:cs="Helv;Arial" w:ascii="Helv;Arial" w:hAnsi="Helv;Arial"/>
          <w:color w:val="000000"/>
          <w:sz w:val="22"/>
          <w:szCs w:val="20"/>
        </w:rPr>
      </w:r>
    </w:p>
    <w:p>
      <w:pPr>
        <w:pStyle w:val="Normal"/>
        <w:tabs>
          <w:tab w:val="clear" w:pos="720"/>
          <w:tab w:val="left" w:pos="900" w:leader="none"/>
        </w:tabs>
        <w:rPr/>
      </w:pPr>
      <w:r>
        <w:rPr>
          <w:rFonts w:cs="Helv;Arial" w:ascii="Helv;Arial" w:hAnsi="Helv;Arial"/>
          <w:b/>
          <w:bCs/>
          <w:color w:val="000000"/>
          <w:sz w:val="22"/>
          <w:szCs w:val="20"/>
        </w:rPr>
        <w:t>To:</w:t>
      </w:r>
      <w:r>
        <w:rPr>
          <w:rFonts w:cs="Helv;Arial" w:ascii="Helv;Arial" w:hAnsi="Helv;Arial"/>
          <w:color w:val="000000"/>
          <w:sz w:val="22"/>
          <w:szCs w:val="20"/>
        </w:rPr>
        <w:tab/>
        <w:tab/>
        <w:t>D. Hart</w:t>
        <w:tab/>
        <w:tab/>
        <w:tab/>
        <w:tab/>
        <w:tab/>
        <w:tab/>
        <w:tab/>
        <w:tab/>
        <w:tab/>
      </w:r>
      <w:r>
        <w:rPr>
          <w:rFonts w:cs="Helv;Arial" w:ascii="Helv;Arial" w:hAnsi="Helv;Arial"/>
          <w:b/>
          <w:bCs/>
          <w:color w:val="000000"/>
          <w:sz w:val="22"/>
          <w:szCs w:val="20"/>
        </w:rPr>
        <w:t>Date:</w:t>
      </w:r>
      <w:r>
        <w:rPr>
          <w:rFonts w:cs="Helv;Arial" w:ascii="Helv;Arial" w:hAnsi="Helv;Arial"/>
          <w:color w:val="000000"/>
          <w:sz w:val="22"/>
          <w:szCs w:val="20"/>
        </w:rPr>
        <w:tab/>
        <w:t>May 23, 2001</w:t>
      </w:r>
    </w:p>
    <w:p>
      <w:pPr>
        <w:pStyle w:val="Normal"/>
        <w:tabs>
          <w:tab w:val="clear" w:pos="720"/>
          <w:tab w:val="left" w:pos="900" w:leader="none"/>
        </w:tabs>
        <w:rPr>
          <w:rFonts w:ascii="Helv;Arial" w:hAnsi="Helv;Arial" w:cs="Helv;Arial"/>
          <w:color w:val="000000"/>
          <w:sz w:val="22"/>
          <w:szCs w:val="20"/>
        </w:rPr>
      </w:pPr>
      <w:r>
        <w:rPr>
          <w:rFonts w:cs="Helv;Arial" w:ascii="Helv;Arial" w:hAnsi="Helv;Arial"/>
          <w:color w:val="000000"/>
          <w:sz w:val="22"/>
          <w:szCs w:val="20"/>
        </w:rPr>
      </w:r>
    </w:p>
    <w:p>
      <w:pPr>
        <w:pStyle w:val="Normal"/>
        <w:numPr>
          <w:ilvl w:val="0"/>
          <w:numId w:val="0"/>
        </w:numPr>
        <w:tabs>
          <w:tab w:val="clear" w:pos="720"/>
          <w:tab w:val="left" w:pos="900" w:leader="none"/>
        </w:tabs>
        <w:outlineLvl w:val="0"/>
        <w:rPr/>
      </w:pPr>
      <w:r>
        <w:rPr>
          <w:rFonts w:cs="Helv;Arial" w:ascii="Helv;Arial" w:hAnsi="Helv;Arial"/>
          <w:b/>
          <w:bCs/>
          <w:color w:val="000000"/>
          <w:sz w:val="22"/>
          <w:szCs w:val="20"/>
        </w:rPr>
        <w:t>From:</w:t>
      </w:r>
      <w:r>
        <w:rPr>
          <w:rFonts w:cs="Helv;Arial" w:ascii="Helv;Arial" w:hAnsi="Helv;Arial"/>
          <w:color w:val="000000"/>
          <w:sz w:val="22"/>
          <w:szCs w:val="20"/>
        </w:rPr>
        <w:tab/>
        <w:tab/>
        <w:t>B. Redmond</w:t>
      </w:r>
    </w:p>
    <w:p>
      <w:pPr>
        <w:pStyle w:val="Normal"/>
        <w:tabs>
          <w:tab w:val="clear" w:pos="720"/>
          <w:tab w:val="left" w:pos="900" w:leader="none"/>
        </w:tabs>
        <w:rPr>
          <w:rFonts w:ascii="Helv;Arial" w:hAnsi="Helv;Arial" w:cs="Helv;Arial"/>
          <w:color w:val="000000"/>
          <w:sz w:val="22"/>
          <w:szCs w:val="20"/>
        </w:rPr>
      </w:pPr>
      <w:r>
        <w:rPr>
          <w:rFonts w:cs="Helv;Arial" w:ascii="Helv;Arial" w:hAnsi="Helv;Arial"/>
          <w:color w:val="000000"/>
          <w:sz w:val="22"/>
          <w:szCs w:val="20"/>
        </w:rPr>
      </w:r>
    </w:p>
    <w:p>
      <w:pPr>
        <w:pStyle w:val="Normal"/>
        <w:tabs>
          <w:tab w:val="clear" w:pos="720"/>
          <w:tab w:val="left" w:pos="900" w:leader="none"/>
        </w:tabs>
        <w:rPr/>
      </w:pPr>
      <w:r>
        <w:rPr>
          <w:rFonts w:cs="Helv;Arial" w:ascii="Helv;Arial" w:hAnsi="Helv;Arial"/>
          <w:b/>
          <w:bCs/>
          <w:color w:val="000000"/>
          <w:sz w:val="22"/>
          <w:szCs w:val="20"/>
        </w:rPr>
        <w:t>Subject:</w:t>
      </w:r>
      <w:r>
        <w:rPr>
          <w:rFonts w:cs="Helv;Arial" w:ascii="Helv;Arial" w:hAnsi="Helv;Arial"/>
          <w:color w:val="000000"/>
          <w:sz w:val="22"/>
          <w:szCs w:val="20"/>
        </w:rPr>
        <w:tab/>
        <w:tab/>
        <w:t>Proposal for Remaining Commercial Issues</w:t>
      </w:r>
    </w:p>
    <w:p>
      <w:pPr>
        <w:pStyle w:val="Normal"/>
        <w:pBdr>
          <w:bottom w:val="single" w:sz="4" w:space="1" w:color="000000"/>
        </w:pBdr>
        <w:tabs>
          <w:tab w:val="clear" w:pos="720"/>
          <w:tab w:val="left" w:pos="900" w:leader="none"/>
        </w:tabs>
        <w:rPr>
          <w:rFonts w:ascii="Helv;Arial" w:hAnsi="Helv;Arial" w:cs="Helv;Arial"/>
          <w:color w:val="000000"/>
          <w:sz w:val="22"/>
          <w:szCs w:val="20"/>
        </w:rPr>
      </w:pPr>
      <w:r>
        <w:rPr>
          <w:rFonts w:cs="Helv;Arial" w:ascii="Helv;Arial" w:hAnsi="Helv;Arial"/>
          <w:color w:val="000000"/>
          <w:sz w:val="22"/>
          <w:szCs w:val="20"/>
        </w:rPr>
      </w:r>
    </w:p>
    <w:p>
      <w:pPr>
        <w:pStyle w:val="Normal"/>
        <w:tabs>
          <w:tab w:val="clear" w:pos="720"/>
          <w:tab w:val="left" w:pos="900" w:leader="none"/>
        </w:tabs>
        <w:rPr>
          <w:rFonts w:ascii="Helv;Arial" w:hAnsi="Helv;Arial" w:cs="Helv;Arial"/>
          <w:color w:val="000000"/>
          <w:sz w:val="22"/>
          <w:szCs w:val="20"/>
        </w:rPr>
      </w:pPr>
      <w:r>
        <w:rPr>
          <w:rFonts w:cs="Helv;Arial" w:ascii="Helv;Arial" w:hAnsi="Helv;Arial"/>
          <w:color w:val="000000"/>
          <w:sz w:val="22"/>
          <w:szCs w:val="20"/>
        </w:rPr>
      </w:r>
    </w:p>
    <w:p>
      <w:pPr>
        <w:pStyle w:val="BodyText"/>
        <w:rPr>
          <w:sz w:val="22"/>
        </w:rPr>
      </w:pPr>
      <w:r>
        <w:rPr>
          <w:sz w:val="22"/>
        </w:rPr>
        <w:t>Proposal (Draft – for discussion purposes only – subject to contract)</w:t>
      </w:r>
    </w:p>
    <w:p>
      <w:pPr>
        <w:pStyle w:val="BodyText"/>
        <w:rPr>
          <w:sz w:val="22"/>
        </w:rPr>
      </w:pPr>
      <w:r>
        <w:rPr>
          <w:sz w:val="22"/>
        </w:rPr>
      </w:r>
    </w:p>
    <w:p>
      <w:pPr>
        <w:pStyle w:val="BodyText"/>
        <w:numPr>
          <w:ilvl w:val="0"/>
          <w:numId w:val="3"/>
        </w:numPr>
        <w:rPr>
          <w:sz w:val="22"/>
        </w:rPr>
      </w:pPr>
      <w:r>
        <w:rPr>
          <w:sz w:val="22"/>
        </w:rPr>
        <w:t>AEP will assume all obligations with respect to commitments made by ENA and HPL to Entex set forth in the letters attached hereto or otherwise made verbally to Entex by Jim Ducote, including:</w:t>
      </w:r>
    </w:p>
    <w:p>
      <w:pPr>
        <w:pStyle w:val="BodyText"/>
        <w:ind w:start="360" w:end="0"/>
        <w:rPr>
          <w:sz w:val="22"/>
        </w:rPr>
      </w:pPr>
      <w:r>
        <w:rPr>
          <w:sz w:val="22"/>
        </w:rPr>
      </w:r>
    </w:p>
    <w:p>
      <w:pPr>
        <w:pStyle w:val="BodyText"/>
        <w:numPr>
          <w:ilvl w:val="1"/>
          <w:numId w:val="3"/>
        </w:numPr>
        <w:rPr>
          <w:sz w:val="22"/>
        </w:rPr>
      </w:pPr>
      <w:r>
        <w:rPr>
          <w:sz w:val="22"/>
        </w:rPr>
        <w:t xml:space="preserve">Construction-in-aid for several projects with an estimated value of $251,000.  </w:t>
      </w:r>
    </w:p>
    <w:p>
      <w:pPr>
        <w:pStyle w:val="BodyText"/>
        <w:numPr>
          <w:ilvl w:val="1"/>
          <w:numId w:val="3"/>
        </w:numPr>
        <w:rPr>
          <w:sz w:val="22"/>
        </w:rPr>
      </w:pPr>
      <w:r>
        <w:rPr>
          <w:sz w:val="22"/>
        </w:rPr>
        <w:t>The completion of the Needlepoint project at an expected cost of $72,000.</w:t>
      </w:r>
    </w:p>
    <w:p>
      <w:pPr>
        <w:pStyle w:val="BodyText"/>
        <w:tabs>
          <w:tab w:val="clear" w:pos="900"/>
          <w:tab w:val="left" w:pos="960" w:leader="none"/>
        </w:tabs>
        <w:ind w:start="360" w:end="0"/>
        <w:rPr>
          <w:sz w:val="22"/>
        </w:rPr>
      </w:pPr>
      <w:r>
        <w:rPr>
          <w:sz w:val="22"/>
        </w:rPr>
      </w:r>
    </w:p>
    <w:p>
      <w:pPr>
        <w:pStyle w:val="BodyText"/>
        <w:numPr>
          <w:ilvl w:val="0"/>
          <w:numId w:val="3"/>
        </w:numPr>
        <w:rPr>
          <w:sz w:val="22"/>
        </w:rPr>
      </w:pPr>
      <w:r>
        <w:rPr>
          <w:sz w:val="22"/>
        </w:rPr>
        <w:t>AEP will assume all benefits with respect to amounts owed to HPL and ENA from Entex</w:t>
      </w:r>
    </w:p>
    <w:p>
      <w:pPr>
        <w:pStyle w:val="BodyText"/>
        <w:ind w:start="360" w:end="0"/>
        <w:rPr>
          <w:sz w:val="22"/>
        </w:rPr>
      </w:pPr>
      <w:r>
        <w:rPr>
          <w:sz w:val="22"/>
        </w:rPr>
      </w:r>
    </w:p>
    <w:p>
      <w:pPr>
        <w:pStyle w:val="BodyText"/>
        <w:numPr>
          <w:ilvl w:val="1"/>
          <w:numId w:val="3"/>
        </w:numPr>
        <w:tabs>
          <w:tab w:val="clear" w:pos="900"/>
        </w:tabs>
        <w:rPr>
          <w:sz w:val="22"/>
        </w:rPr>
      </w:pPr>
      <w:r>
        <w:rPr>
          <w:sz w:val="22"/>
        </w:rPr>
        <w:t>Enron will transfer to HPL the account payable owed to HPL in the amount of $21,000 for HPL equipment that was mistakenly removed by Entex.</w:t>
      </w:r>
    </w:p>
    <w:p>
      <w:pPr>
        <w:pStyle w:val="BodyText"/>
        <w:numPr>
          <w:ilvl w:val="1"/>
          <w:numId w:val="3"/>
        </w:numPr>
        <w:tabs>
          <w:tab w:val="clear" w:pos="900"/>
        </w:tabs>
        <w:rPr>
          <w:sz w:val="22"/>
        </w:rPr>
      </w:pPr>
      <w:r>
        <w:rPr>
          <w:sz w:val="22"/>
        </w:rPr>
        <w:t>Enron will transfer to HPL the account payable owed to ENA for interest due from Entex estimated to be $42,288 as set forth in the letter attached hereto.</w:t>
      </w:r>
    </w:p>
    <w:p>
      <w:pPr>
        <w:pStyle w:val="BodyText"/>
        <w:numPr>
          <w:ilvl w:val="1"/>
          <w:numId w:val="3"/>
        </w:numPr>
        <w:rPr>
          <w:sz w:val="22"/>
        </w:rPr>
      </w:pPr>
      <w:r>
        <w:rPr>
          <w:sz w:val="22"/>
        </w:rPr>
        <w:t xml:space="preserve">Enron will transfer to LoDisco the information from the audit conducted by ENA of Entex gas purchases for the period of April 1, 1999 through March 31, 2000.  Further, ENA will forego its rights to collect any payments due from Entex in respect of such audit findings.  </w:t>
      </w:r>
    </w:p>
    <w:p>
      <w:pPr>
        <w:pStyle w:val="BodyText"/>
        <w:numPr>
          <w:ilvl w:val="1"/>
          <w:numId w:val="3"/>
        </w:numPr>
        <w:rPr>
          <w:sz w:val="22"/>
        </w:rPr>
      </w:pPr>
      <w:r>
        <w:rPr>
          <w:sz w:val="22"/>
        </w:rPr>
        <w:t>Enron will transfer to LoDisco the right to conduct an audit of Entex and the right to pursue any payments from Entex in respect of the Entex Gas Contract for the period of April 1, 2000 through March 31, 2001.</w:t>
      </w:r>
    </w:p>
    <w:p>
      <w:pPr>
        <w:pStyle w:val="BodyText"/>
        <w:ind w:start="1080" w:end="0"/>
        <w:rPr>
          <w:sz w:val="22"/>
        </w:rPr>
      </w:pPr>
      <w:r>
        <w:rPr>
          <w:sz w:val="22"/>
        </w:rPr>
      </w:r>
    </w:p>
    <w:p>
      <w:pPr>
        <w:pStyle w:val="BodyText"/>
        <w:numPr>
          <w:ilvl w:val="0"/>
          <w:numId w:val="3"/>
        </w:numPr>
        <w:rPr>
          <w:sz w:val="22"/>
        </w:rPr>
      </w:pPr>
      <w:r>
        <w:rPr>
          <w:sz w:val="22"/>
        </w:rPr>
        <w:t>ENA agrees to withdraw its claim that AEP is required to pay approximately $2.1MM in interest to Enron pursuant to Section 10.5 of the Purchase and Sale Agreement.</w:t>
      </w:r>
    </w:p>
    <w:p>
      <w:pPr>
        <w:pStyle w:val="BodyText"/>
        <w:ind w:start="360" w:end="0"/>
        <w:rPr>
          <w:sz w:val="22"/>
        </w:rPr>
      </w:pPr>
      <w:r>
        <w:rPr>
          <w:sz w:val="22"/>
        </w:rPr>
      </w:r>
    </w:p>
    <w:p>
      <w:pPr>
        <w:pStyle w:val="BodyText"/>
        <w:numPr>
          <w:ilvl w:val="0"/>
          <w:numId w:val="3"/>
        </w:numPr>
        <w:rPr>
          <w:sz w:val="22"/>
        </w:rPr>
      </w:pPr>
      <w:r>
        <w:rPr>
          <w:sz w:val="22"/>
        </w:rPr>
        <w:t>AEP agrees that all imbalances on HPL’s books at Close will remain with HPL and will be settled by AEP.  Enron will have no further liability or rights in respect of these imbalances.</w:t>
      </w:r>
    </w:p>
    <w:p>
      <w:pPr>
        <w:pStyle w:val="BodyText"/>
        <w:rPr>
          <w:sz w:val="22"/>
        </w:rPr>
      </w:pPr>
      <w:r>
        <w:rPr>
          <w:sz w:val="22"/>
        </w:rPr>
      </w:r>
    </w:p>
    <w:p>
      <w:pPr>
        <w:pStyle w:val="BodyText"/>
        <w:numPr>
          <w:ilvl w:val="0"/>
          <w:numId w:val="3"/>
        </w:numPr>
        <w:rPr>
          <w:sz w:val="22"/>
        </w:rPr>
      </w:pPr>
      <w:r>
        <w:rPr>
          <w:sz w:val="22"/>
        </w:rPr>
        <w:t>AEP and Enron agree the following with respect to the law suit with Coastline Resources and its sub-contractors:</w:t>
      </w:r>
    </w:p>
    <w:p>
      <w:pPr>
        <w:pStyle w:val="BodyText"/>
        <w:rPr>
          <w:sz w:val="22"/>
        </w:rPr>
      </w:pPr>
      <w:r>
        <w:rPr>
          <w:sz w:val="22"/>
        </w:rPr>
      </w:r>
    </w:p>
    <w:p>
      <w:pPr>
        <w:pStyle w:val="BodyText"/>
        <w:numPr>
          <w:ilvl w:val="1"/>
          <w:numId w:val="3"/>
        </w:numPr>
        <w:rPr>
          <w:sz w:val="22"/>
        </w:rPr>
      </w:pPr>
      <w:r>
        <w:rPr>
          <w:sz w:val="22"/>
        </w:rPr>
        <w:t>HPL will retain the responsibility and liability for additional costs in respect of the law suit,</w:t>
      </w:r>
    </w:p>
    <w:p>
      <w:pPr>
        <w:pStyle w:val="BodyText"/>
        <w:numPr>
          <w:ilvl w:val="1"/>
          <w:numId w:val="3"/>
        </w:numPr>
        <w:rPr>
          <w:sz w:val="22"/>
        </w:rPr>
      </w:pPr>
      <w:r>
        <w:rPr>
          <w:sz w:val="22"/>
        </w:rPr>
        <w:t>ENA will indemnify HPL for the first $1.4MM of costs to be paid to Coastline and its subcontractors in respect of the law suit.</w:t>
      </w:r>
    </w:p>
    <w:p>
      <w:pPr>
        <w:pStyle w:val="BodyText"/>
        <w:numPr>
          <w:ilvl w:val="1"/>
          <w:numId w:val="3"/>
        </w:numPr>
        <w:rPr>
          <w:sz w:val="22"/>
        </w:rPr>
      </w:pPr>
      <w:r>
        <w:rPr>
          <w:sz w:val="22"/>
        </w:rPr>
        <w:t>ENA and AEP agree to cooperate in good faith to resolve the law suite with minimal cost to both parties.</w:t>
      </w:r>
      <w:r>
        <w:br w:type="page"/>
      </w:r>
    </w:p>
    <w:p>
      <w:pPr>
        <w:pStyle w:val="BodyText"/>
        <w:jc w:val="center"/>
        <w:rPr>
          <w:b/>
          <w:bCs/>
          <w:sz w:val="22"/>
        </w:rPr>
      </w:pPr>
      <w:r>
        <w:rPr>
          <w:b/>
          <w:bCs/>
          <w:sz w:val="22"/>
        </w:rPr>
        <w:t>SUMMARY OF LETTERS REFERENCED AS ATTACHMENTS</w:t>
      </w:r>
    </w:p>
    <w:p>
      <w:pPr>
        <w:pStyle w:val="BodyText"/>
        <w:rPr>
          <w:b/>
          <w:bCs/>
          <w:sz w:val="22"/>
        </w:rPr>
      </w:pPr>
      <w:r>
        <w:rPr>
          <w:b/>
          <w:bCs/>
          <w:sz w:val="22"/>
        </w:rPr>
      </w:r>
    </w:p>
    <w:p>
      <w:pPr>
        <w:pStyle w:val="BodyText"/>
        <w:rPr>
          <w:sz w:val="22"/>
        </w:rPr>
      </w:pPr>
      <w:r>
        <w:rPr>
          <w:sz w:val="22"/>
        </w:rPr>
      </w:r>
    </w:p>
    <w:p>
      <w:pPr>
        <w:pStyle w:val="Normal"/>
        <w:tabs>
          <w:tab w:val="clear" w:pos="720"/>
          <w:tab w:val="left" w:pos="360" w:leader="none"/>
        </w:tabs>
        <w:ind w:start="360" w:end="0"/>
        <w:rPr>
          <w:rFonts w:ascii="Arial" w:hAnsi="Arial" w:eastAsia="Arial Unicode MS" w:cs="Arial"/>
          <w:sz w:val="22"/>
          <w:szCs w:val="20"/>
        </w:rPr>
      </w:pPr>
      <w:r>
        <w:rPr>
          <w:rFonts w:eastAsia="Arial Unicode MS" w:cs="Arial" w:ascii="Arial" w:hAnsi="Arial"/>
          <w:sz w:val="22"/>
          <w:szCs w:val="20"/>
        </w:rPr>
      </w:r>
    </w:p>
    <w:p>
      <w:pPr>
        <w:pStyle w:val="Normal"/>
        <w:numPr>
          <w:ilvl w:val="0"/>
          <w:numId w:val="4"/>
        </w:numPr>
        <w:tabs>
          <w:tab w:val="clear" w:pos="720"/>
          <w:tab w:val="left" w:pos="360" w:leader="none"/>
        </w:tabs>
        <w:ind w:hanging="0" w:start="0" w:end="0"/>
        <w:rPr>
          <w:rFonts w:ascii="Arial" w:hAnsi="Arial" w:cs="Arial"/>
          <w:b/>
          <w:bCs/>
          <w:sz w:val="22"/>
          <w:szCs w:val="20"/>
        </w:rPr>
      </w:pPr>
      <w:r>
        <w:rPr>
          <w:rFonts w:cs="Arial" w:ascii="Arial" w:hAnsi="Arial"/>
          <w:b/>
          <w:bCs/>
          <w:sz w:val="22"/>
          <w:szCs w:val="20"/>
        </w:rPr>
        <w:t>ENA – Entex Verbal Agreement Obligations</w:t>
      </w:r>
    </w:p>
    <w:p>
      <w:pPr>
        <w:pStyle w:val="Normal"/>
        <w:tabs>
          <w:tab w:val="clear" w:pos="720"/>
          <w:tab w:val="left" w:pos="360" w:leader="none"/>
        </w:tabs>
        <w:ind w:start="360" w:end="0"/>
        <w:rPr>
          <w:rFonts w:ascii="Arial" w:hAnsi="Arial" w:eastAsia="Arial Unicode MS" w:cs="Arial"/>
          <w:b/>
          <w:bCs/>
          <w:sz w:val="22"/>
          <w:szCs w:val="20"/>
        </w:rPr>
      </w:pPr>
      <w:r>
        <w:rPr>
          <w:rFonts w:eastAsia="Arial Unicode MS" w:cs="Arial" w:ascii="Arial" w:hAnsi="Arial"/>
          <w:b/>
          <w:bCs/>
          <w:sz w:val="22"/>
          <w:szCs w:val="20"/>
        </w:rPr>
      </w:r>
    </w:p>
    <w:p>
      <w:pPr>
        <w:pStyle w:val="BodyTextIndent"/>
        <w:tabs>
          <w:tab w:val="clear" w:pos="720"/>
          <w:tab w:val="left" w:pos="360" w:leader="none"/>
        </w:tabs>
        <w:ind w:start="360" w:end="168"/>
        <w:rPr>
          <w:rFonts w:eastAsia="Arial Unicode MS"/>
          <w:sz w:val="22"/>
        </w:rPr>
      </w:pPr>
      <w:r>
        <w:rPr>
          <w:sz w:val="22"/>
        </w:rPr>
        <w:t>In the last Entex contract there was a verbal agreement between Enron North America (ENA) and Entex whereby ENA, on behalf of HPL, would provide $300,000 each calendar year for engineering projects that would enhance deliveries between the two companies or for other mutually agreed upon projects.  Although this verbal agreement was terminated on Dec. 29, 1998 when ENA and Entex renegotiated the purchase, sale, and transport agreements, the following projects are outstanding commitments by ENA on behalf of HPL from this verbal agreement:</w:t>
      </w:r>
    </w:p>
    <w:p>
      <w:pPr>
        <w:pStyle w:val="Normal"/>
        <w:rPr>
          <w:rFonts w:ascii="Arial" w:hAnsi="Arial" w:eastAsia="Arial Unicode MS" w:cs="Arial"/>
          <w:sz w:val="22"/>
          <w:szCs w:val="20"/>
        </w:rPr>
      </w:pPr>
      <w:r>
        <w:rPr>
          <w:rFonts w:eastAsia="Arial Unicode MS" w:cs="Arial" w:ascii="Arial" w:hAnsi="Arial"/>
          <w:sz w:val="22"/>
          <w:szCs w:val="20"/>
        </w:rPr>
      </w:r>
    </w:p>
    <w:p>
      <w:pPr>
        <w:pStyle w:val="Normal"/>
        <w:rPr>
          <w:rFonts w:ascii="Arial" w:hAnsi="Arial" w:eastAsia="Arial Unicode MS" w:cs="Arial"/>
          <w:sz w:val="22"/>
          <w:szCs w:val="20"/>
        </w:rPr>
      </w:pPr>
      <w:r>
        <w:rPr>
          <w:rFonts w:eastAsia="Arial Unicode MS" w:cs="Arial" w:ascii="Arial" w:hAnsi="Arial"/>
          <w:sz w:val="22"/>
          <w:szCs w:val="20"/>
        </w:rPr>
      </w:r>
    </w:p>
    <w:p>
      <w:pPr>
        <w:pStyle w:val="Heading3"/>
        <w:tabs>
          <w:tab w:val="clear" w:pos="720"/>
          <w:tab w:val="left" w:pos="360" w:leader="none"/>
          <w:tab w:val="left" w:pos="840" w:leader="none"/>
        </w:tabs>
        <w:ind w:hanging="2160" w:start="2160" w:end="0"/>
        <w:rPr>
          <w:rFonts w:eastAsia="Arial Unicode MS"/>
          <w:b w:val="false"/>
          <w:bCs w:val="false"/>
          <w:sz w:val="22"/>
        </w:rPr>
      </w:pPr>
      <w:r>
        <w:rPr>
          <w:rFonts w:eastAsia="Arial Unicode MS"/>
          <w:b w:val="false"/>
          <w:bCs w:val="false"/>
          <w:sz w:val="22"/>
        </w:rPr>
        <w:tab/>
        <w:t>A</w:t>
        <w:tab/>
        <w:t>$76,000</w:t>
        <w:tab/>
      </w:r>
      <w:r>
        <w:rPr>
          <w:sz w:val="22"/>
        </w:rPr>
        <w:t xml:space="preserve">Needlepoint City Gate </w:t>
      </w:r>
      <w:r>
        <w:rPr>
          <w:b w:val="false"/>
          <w:bCs w:val="false"/>
          <w:sz w:val="22"/>
        </w:rPr>
        <w:t>- To cover Entex's costs for connecting the Needlepoint station to their existing system, presently being supplied by Midcon.  Documented in a letter from Jim Ducote (ENA VP) to Wayne Stinnett (Entex CFO) dated Dec. 30, 1998.</w:t>
      </w:r>
    </w:p>
    <w:p>
      <w:pPr>
        <w:pStyle w:val="Normal"/>
        <w:tabs>
          <w:tab w:val="clear" w:pos="720"/>
          <w:tab w:val="left" w:pos="360" w:leader="none"/>
          <w:tab w:val="left" w:pos="840" w:leader="none"/>
        </w:tabs>
        <w:rPr>
          <w:rFonts w:ascii="Arial" w:hAnsi="Arial" w:eastAsia="Arial Unicode MS" w:cs="Arial"/>
          <w:sz w:val="22"/>
          <w:szCs w:val="20"/>
        </w:rPr>
      </w:pPr>
      <w:r>
        <w:rPr>
          <w:rFonts w:eastAsia="Arial Unicode MS" w:cs="Arial" w:ascii="Arial" w:hAnsi="Arial"/>
          <w:sz w:val="22"/>
          <w:szCs w:val="20"/>
        </w:rPr>
        <w:tab/>
      </w:r>
    </w:p>
    <w:p>
      <w:pPr>
        <w:pStyle w:val="Heading3"/>
        <w:tabs>
          <w:tab w:val="clear" w:pos="720"/>
          <w:tab w:val="left" w:pos="360" w:leader="none"/>
          <w:tab w:val="left" w:pos="840" w:leader="none"/>
          <w:tab w:val="right" w:pos="1440" w:leader="none"/>
        </w:tabs>
        <w:ind w:hanging="2160" w:start="2160" w:end="0"/>
        <w:rPr/>
      </w:pPr>
      <w:r>
        <w:rPr>
          <w:rFonts w:eastAsia="Arial Unicode MS"/>
          <w:b w:val="false"/>
          <w:bCs w:val="false"/>
          <w:sz w:val="22"/>
        </w:rPr>
        <w:tab/>
        <w:t>B.</w:t>
        <w:tab/>
        <w:t>$80,000</w:t>
        <w:tab/>
      </w:r>
      <w:r>
        <w:rPr>
          <w:sz w:val="22"/>
        </w:rPr>
        <w:t>Woodlands/Conroe</w:t>
      </w:r>
      <w:r>
        <w:rPr>
          <w:b w:val="false"/>
          <w:bCs w:val="false"/>
          <w:sz w:val="22"/>
        </w:rPr>
        <w:t xml:space="preserve"> - Provide tap, metering, and regulation and instrumentation to supply gas requirements off HPL.  Documented in a letter from Jim Ducote to Wayne Stinnett dated Dec. 30, 1998.  This project per Entex will not be needed for the next couple of years.</w:t>
      </w:r>
    </w:p>
    <w:p>
      <w:pPr>
        <w:pStyle w:val="Normal"/>
        <w:tabs>
          <w:tab w:val="clear" w:pos="720"/>
          <w:tab w:val="left" w:pos="360" w:leader="none"/>
          <w:tab w:val="left" w:pos="840" w:leader="none"/>
        </w:tabs>
        <w:ind w:start="2160" w:end="0"/>
        <w:rPr>
          <w:rFonts w:ascii="Arial" w:hAnsi="Arial" w:cs="Arial"/>
          <w:b/>
          <w:bCs/>
          <w:sz w:val="22"/>
          <w:szCs w:val="20"/>
        </w:rPr>
      </w:pPr>
      <w:r>
        <w:rPr>
          <w:rFonts w:cs="Arial" w:ascii="Arial" w:hAnsi="Arial"/>
          <w:b/>
          <w:bCs/>
          <w:sz w:val="22"/>
          <w:szCs w:val="20"/>
        </w:rPr>
      </w:r>
    </w:p>
    <w:p>
      <w:pPr>
        <w:pStyle w:val="Heading3"/>
        <w:tabs>
          <w:tab w:val="clear" w:pos="720"/>
          <w:tab w:val="left" w:pos="360" w:leader="none"/>
          <w:tab w:val="left" w:pos="840" w:leader="none"/>
        </w:tabs>
        <w:ind w:hanging="2160" w:start="2160" w:end="0"/>
        <w:rPr/>
      </w:pPr>
      <w:r>
        <w:rPr>
          <w:b w:val="false"/>
          <w:bCs w:val="false"/>
          <w:sz w:val="22"/>
        </w:rPr>
        <w:tab/>
        <w:t>C.</w:t>
        <w:tab/>
        <w:t>$60,000</w:t>
        <w:tab/>
      </w:r>
      <w:r>
        <w:rPr>
          <w:sz w:val="22"/>
        </w:rPr>
        <w:t>Retrieve Prison Unit</w:t>
      </w:r>
      <w:r>
        <w:rPr>
          <w:b w:val="false"/>
          <w:bCs w:val="false"/>
          <w:sz w:val="22"/>
        </w:rPr>
        <w:t xml:space="preserve"> - To reimburse Entex for new facilities that were installed to maintain existing natural gas service to the TDCJ's Retrieve Prison Unit near Lake Jackson.  Documented in a letter from L. Bruce Coogler (Entex Director) to Jim Ducote dated July 13, 1999.</w:t>
      </w:r>
    </w:p>
    <w:p>
      <w:pPr>
        <w:pStyle w:val="Normal"/>
        <w:tabs>
          <w:tab w:val="clear" w:pos="720"/>
          <w:tab w:val="left" w:pos="360" w:leader="none"/>
        </w:tabs>
        <w:ind w:start="2160" w:end="0"/>
        <w:rPr>
          <w:rFonts w:ascii="Arial" w:hAnsi="Arial" w:cs="Arial"/>
          <w:b/>
          <w:bCs/>
          <w:sz w:val="22"/>
          <w:szCs w:val="20"/>
        </w:rPr>
      </w:pPr>
      <w:r>
        <w:rPr>
          <w:rFonts w:cs="Arial" w:ascii="Arial" w:hAnsi="Arial"/>
          <w:b/>
          <w:bCs/>
          <w:sz w:val="22"/>
          <w:szCs w:val="20"/>
        </w:rPr>
      </w:r>
    </w:p>
    <w:p>
      <w:pPr>
        <w:pStyle w:val="Heading4"/>
        <w:ind w:hanging="1800" w:start="2160" w:end="0"/>
        <w:rPr/>
      </w:pPr>
      <w:r>
        <w:rPr>
          <w:b w:val="false"/>
          <w:bCs w:val="false"/>
        </w:rPr>
        <w:t>D.</w:t>
        <w:tab/>
        <w:t>$35,000</w:t>
        <w:tab/>
      </w:r>
      <w:r>
        <w:rPr/>
        <w:t>Hempstead City Gate</w:t>
      </w:r>
      <w:r>
        <w:rPr>
          <w:b w:val="false"/>
          <w:bCs w:val="false"/>
        </w:rPr>
        <w:t xml:space="preserve"> – The City gate station is being redisigned and Entex will take over all regulation.  The $35,000 represents Entex’s cost for assuming the regulation.  This has been agreed to verbally by L. Bruce Coogler and Jim Ducote.</w:t>
      </w:r>
    </w:p>
    <w:p>
      <w:pPr>
        <w:pStyle w:val="Normal"/>
        <w:tabs>
          <w:tab w:val="clear" w:pos="720"/>
          <w:tab w:val="left" w:pos="360" w:leader="none"/>
        </w:tabs>
        <w:ind w:start="2160" w:end="0"/>
        <w:rPr>
          <w:rFonts w:ascii="Arial" w:hAnsi="Arial" w:eastAsia="Arial Unicode MS" w:cs="Arial"/>
          <w:b/>
          <w:bCs/>
          <w:sz w:val="22"/>
          <w:szCs w:val="20"/>
        </w:rPr>
      </w:pPr>
      <w:r>
        <w:rPr>
          <w:rFonts w:eastAsia="Arial Unicode MS" w:cs="Arial" w:ascii="Arial" w:hAnsi="Arial"/>
          <w:b/>
          <w:bCs/>
          <w:sz w:val="22"/>
          <w:szCs w:val="20"/>
        </w:rPr>
      </w:r>
    </w:p>
    <w:p>
      <w:pPr>
        <w:pStyle w:val="Normal"/>
        <w:numPr>
          <w:ilvl w:val="0"/>
          <w:numId w:val="4"/>
        </w:numPr>
        <w:tabs>
          <w:tab w:val="clear" w:pos="720"/>
          <w:tab w:val="left" w:pos="360" w:leader="none"/>
        </w:tabs>
        <w:ind w:hanging="0" w:start="0" w:end="0"/>
        <w:rPr>
          <w:rFonts w:ascii="Arial" w:hAnsi="Arial" w:cs="Arial"/>
          <w:b/>
          <w:bCs/>
          <w:sz w:val="22"/>
          <w:szCs w:val="20"/>
        </w:rPr>
      </w:pPr>
      <w:r>
        <w:rPr>
          <w:rFonts w:cs="Arial" w:ascii="Arial" w:hAnsi="Arial"/>
          <w:b/>
          <w:bCs/>
          <w:sz w:val="22"/>
          <w:szCs w:val="20"/>
        </w:rPr>
        <w:t>ENA – Entex Receivables</w:t>
      </w:r>
    </w:p>
    <w:p>
      <w:pPr>
        <w:pStyle w:val="Normal"/>
        <w:tabs>
          <w:tab w:val="clear" w:pos="720"/>
          <w:tab w:val="left" w:pos="360" w:leader="none"/>
        </w:tabs>
        <w:rPr>
          <w:rFonts w:ascii="Arial" w:hAnsi="Arial" w:cs="Arial"/>
          <w:b/>
          <w:bCs/>
          <w:sz w:val="22"/>
          <w:szCs w:val="20"/>
        </w:rPr>
      </w:pPr>
      <w:r>
        <w:rPr>
          <w:rFonts w:cs="Arial" w:ascii="Arial" w:hAnsi="Arial"/>
          <w:b/>
          <w:bCs/>
          <w:sz w:val="22"/>
          <w:szCs w:val="20"/>
        </w:rPr>
      </w:r>
    </w:p>
    <w:p>
      <w:pPr>
        <w:pStyle w:val="Normal"/>
        <w:tabs>
          <w:tab w:val="clear" w:pos="720"/>
          <w:tab w:val="left" w:pos="360" w:leader="none"/>
        </w:tabs>
        <w:ind w:start="360" w:end="0"/>
        <w:rPr>
          <w:rFonts w:ascii="Arial" w:hAnsi="Arial" w:eastAsia="Arial Unicode MS" w:cs="Arial"/>
          <w:sz w:val="22"/>
          <w:szCs w:val="20"/>
        </w:rPr>
      </w:pPr>
      <w:r>
        <w:rPr>
          <w:rFonts w:eastAsia="Arial Unicode MS" w:cs="Arial" w:ascii="Arial" w:hAnsi="Arial"/>
          <w:sz w:val="22"/>
          <w:szCs w:val="20"/>
        </w:rPr>
        <w:t>The following represents a project credit owed by Entex to ENA:</w:t>
      </w:r>
    </w:p>
    <w:p>
      <w:pPr>
        <w:pStyle w:val="Normal"/>
        <w:tabs>
          <w:tab w:val="clear" w:pos="720"/>
          <w:tab w:val="left" w:pos="360" w:leader="none"/>
        </w:tabs>
        <w:ind w:start="360" w:end="0"/>
        <w:rPr>
          <w:rFonts w:ascii="Arial" w:hAnsi="Arial" w:eastAsia="Arial Unicode MS" w:cs="Arial"/>
          <w:sz w:val="22"/>
          <w:szCs w:val="20"/>
        </w:rPr>
      </w:pPr>
      <w:r>
        <w:rPr>
          <w:rFonts w:eastAsia="Arial Unicode MS" w:cs="Arial" w:ascii="Arial" w:hAnsi="Arial"/>
          <w:sz w:val="22"/>
          <w:szCs w:val="20"/>
        </w:rPr>
      </w:r>
    </w:p>
    <w:p>
      <w:pPr>
        <w:pStyle w:val="Normal"/>
        <w:tabs>
          <w:tab w:val="clear" w:pos="720"/>
          <w:tab w:val="left" w:pos="840" w:leader="none"/>
        </w:tabs>
        <w:ind w:hanging="1800" w:start="2160" w:end="0"/>
        <w:rPr>
          <w:rFonts w:ascii="Arial" w:hAnsi="Arial" w:eastAsia="Arial Unicode MS" w:cs="Arial"/>
          <w:sz w:val="22"/>
          <w:szCs w:val="20"/>
        </w:rPr>
      </w:pPr>
      <w:r>
        <w:rPr>
          <w:rFonts w:cs="Arial" w:ascii="Arial" w:hAnsi="Arial"/>
          <w:sz w:val="22"/>
          <w:szCs w:val="20"/>
        </w:rPr>
        <w:t>A.    ($42,288)</w:t>
        <w:tab/>
      </w:r>
      <w:r>
        <w:rPr>
          <w:rFonts w:cs="Arial" w:ascii="Arial" w:hAnsi="Arial"/>
          <w:b/>
          <w:bCs/>
          <w:sz w:val="22"/>
          <w:szCs w:val="20"/>
        </w:rPr>
        <w:t>Greatwood Project Fund Interest Receivable</w:t>
      </w:r>
      <w:r>
        <w:rPr>
          <w:rFonts w:cs="Arial" w:ascii="Arial" w:hAnsi="Arial"/>
          <w:sz w:val="22"/>
          <w:szCs w:val="20"/>
        </w:rPr>
        <w:t xml:space="preserve"> - </w:t>
      </w:r>
      <w:r>
        <w:rPr>
          <w:rFonts w:cs="Arial" w:ascii="Arial" w:hAnsi="Arial"/>
        </w:rPr>
        <w:t xml:space="preserve">Interest received on Richmond Loop (Greatwood Project Fund).  Documented in a letter from </w:t>
      </w:r>
      <w:r>
        <w:rPr>
          <w:rFonts w:cs="Arial" w:ascii="Arial" w:hAnsi="Arial"/>
          <w:sz w:val="22"/>
          <w:szCs w:val="20"/>
        </w:rPr>
        <w:t>Tal Centers (Entex Manager) to Steve Schneider dated June 21, 2000.</w:t>
      </w:r>
    </w:p>
    <w:p>
      <w:pPr>
        <w:pStyle w:val="Normal"/>
        <w:rPr>
          <w:rFonts w:ascii="Arial" w:hAnsi="Arial" w:eastAsia="Arial Unicode MS" w:cs="Arial"/>
          <w:sz w:val="22"/>
          <w:szCs w:val="20"/>
        </w:rPr>
      </w:pPr>
      <w:r>
        <w:rPr>
          <w:rFonts w:eastAsia="Arial Unicode MS" w:cs="Arial" w:ascii="Arial" w:hAnsi="Arial"/>
          <w:sz w:val="22"/>
          <w:szCs w:val="20"/>
        </w:rPr>
      </w:r>
    </w:p>
    <w:p>
      <w:pPr>
        <w:pStyle w:val="Normal"/>
        <w:tabs>
          <w:tab w:val="clear" w:pos="720"/>
          <w:tab w:val="left" w:pos="360" w:leader="none"/>
        </w:tabs>
        <w:rPr>
          <w:rFonts w:ascii="Arial" w:hAnsi="Arial" w:cs="Arial"/>
          <w:b/>
          <w:bCs/>
          <w:sz w:val="22"/>
          <w:szCs w:val="20"/>
        </w:rPr>
      </w:pPr>
      <w:r>
        <w:rPr>
          <w:rFonts w:cs="Arial" w:ascii="Arial" w:hAnsi="Arial"/>
          <w:b/>
          <w:bCs/>
          <w:sz w:val="22"/>
          <w:szCs w:val="20"/>
        </w:rPr>
        <w:t>3.</w:t>
        <w:tab/>
        <w:t>HPL – Entex Obligations/Receivables</w:t>
      </w:r>
    </w:p>
    <w:p>
      <w:pPr>
        <w:pStyle w:val="Normal"/>
        <w:tabs>
          <w:tab w:val="clear" w:pos="720"/>
          <w:tab w:val="left" w:pos="360" w:leader="none"/>
        </w:tabs>
        <w:rPr>
          <w:rFonts w:ascii="Arial" w:hAnsi="Arial" w:cs="Arial"/>
          <w:b/>
          <w:bCs/>
          <w:sz w:val="22"/>
          <w:szCs w:val="20"/>
        </w:rPr>
      </w:pPr>
      <w:r>
        <w:rPr>
          <w:rFonts w:cs="Arial" w:ascii="Arial" w:hAnsi="Arial"/>
          <w:b/>
          <w:bCs/>
          <w:sz w:val="22"/>
          <w:szCs w:val="20"/>
        </w:rPr>
      </w:r>
    </w:p>
    <w:p>
      <w:pPr>
        <w:pStyle w:val="Normal"/>
        <w:tabs>
          <w:tab w:val="clear" w:pos="720"/>
          <w:tab w:val="left" w:pos="360" w:leader="none"/>
        </w:tabs>
        <w:rPr>
          <w:rFonts w:ascii="Arial" w:hAnsi="Arial" w:eastAsia="Arial Unicode MS" w:cs="Arial"/>
          <w:sz w:val="22"/>
          <w:szCs w:val="20"/>
        </w:rPr>
      </w:pPr>
      <w:r>
        <w:rPr>
          <w:rFonts w:eastAsia="Arial Unicode MS" w:cs="Arial" w:ascii="Arial" w:hAnsi="Arial"/>
          <w:sz w:val="22"/>
          <w:szCs w:val="20"/>
        </w:rPr>
        <w:tab/>
        <w:t>The following represent outstanding project receivables/obligations due from/to Entex directly by HPL</w:t>
      </w:r>
    </w:p>
    <w:p>
      <w:pPr>
        <w:pStyle w:val="Normal"/>
        <w:ind w:firstLine="720" w:end="0"/>
        <w:rPr>
          <w:rFonts w:ascii="Arial" w:hAnsi="Arial" w:eastAsia="Arial Unicode MS" w:cs="Arial"/>
          <w:b/>
          <w:bCs/>
          <w:sz w:val="22"/>
          <w:szCs w:val="20"/>
        </w:rPr>
      </w:pPr>
      <w:r>
        <w:rPr>
          <w:rFonts w:eastAsia="Arial Unicode MS" w:cs="Arial" w:ascii="Arial" w:hAnsi="Arial"/>
          <w:b/>
          <w:bCs/>
          <w:sz w:val="22"/>
          <w:szCs w:val="20"/>
        </w:rPr>
      </w:r>
    </w:p>
    <w:p>
      <w:pPr>
        <w:pStyle w:val="Normal"/>
        <w:tabs>
          <w:tab w:val="clear" w:pos="720"/>
          <w:tab w:val="left" w:pos="840" w:leader="none"/>
        </w:tabs>
        <w:ind w:hanging="1800" w:start="2160" w:end="0"/>
        <w:rPr>
          <w:rFonts w:ascii="Arial" w:hAnsi="Arial" w:eastAsia="Arial Unicode MS" w:cs="Arial"/>
          <w:sz w:val="22"/>
          <w:szCs w:val="20"/>
        </w:rPr>
      </w:pPr>
      <w:r>
        <w:rPr>
          <w:rFonts w:cs="Arial" w:ascii="Arial" w:hAnsi="Arial"/>
          <w:sz w:val="22"/>
          <w:szCs w:val="20"/>
        </w:rPr>
        <w:t>A.    ($21,000)</w:t>
        <w:tab/>
      </w:r>
      <w:r>
        <w:rPr>
          <w:rFonts w:cs="Arial" w:ascii="Arial" w:hAnsi="Arial"/>
          <w:b/>
          <w:bCs/>
          <w:sz w:val="22"/>
          <w:szCs w:val="20"/>
        </w:rPr>
        <w:t>Airport Odorizer Equipment</w:t>
      </w:r>
      <w:r>
        <w:rPr>
          <w:rFonts w:cs="Arial" w:ascii="Arial" w:hAnsi="Arial"/>
          <w:sz w:val="22"/>
          <w:szCs w:val="20"/>
        </w:rPr>
        <w:t xml:space="preserve"> –</w:t>
      </w:r>
      <w:r>
        <w:rPr>
          <w:rFonts w:cs="Arial" w:ascii="Arial" w:hAnsi="Arial"/>
          <w:b/>
          <w:bCs/>
          <w:sz w:val="22"/>
          <w:szCs w:val="20"/>
        </w:rPr>
        <w:t xml:space="preserve"> </w:t>
      </w:r>
      <w:r>
        <w:rPr>
          <w:rFonts w:cs="Arial" w:ascii="Arial" w:hAnsi="Arial"/>
          <w:sz w:val="22"/>
          <w:szCs w:val="20"/>
        </w:rPr>
        <w:t>HPL’s</w:t>
      </w:r>
      <w:r>
        <w:rPr>
          <w:rFonts w:cs="Arial" w:ascii="Arial" w:hAnsi="Arial"/>
          <w:b/>
          <w:bCs/>
          <w:sz w:val="22"/>
          <w:szCs w:val="20"/>
        </w:rPr>
        <w:t xml:space="preserve"> </w:t>
      </w:r>
      <w:r>
        <w:rPr>
          <w:rFonts w:cs="Arial" w:ascii="Arial" w:hAnsi="Arial"/>
          <w:sz w:val="22"/>
          <w:szCs w:val="20"/>
        </w:rPr>
        <w:t>airport odorizer equipment was mistakenly removed by Entex.  HPL will determine the fair price of taking this equipment off the HPL books and bill Entex.  Entex is to pay in cash.</w:t>
      </w:r>
    </w:p>
    <w:p>
      <w:pPr>
        <w:pStyle w:val="Normal"/>
        <w:rPr>
          <w:rFonts w:ascii="Arial" w:hAnsi="Arial" w:eastAsia="Arial Unicode MS" w:cs="Arial"/>
          <w:sz w:val="22"/>
          <w:szCs w:val="20"/>
        </w:rPr>
      </w:pPr>
      <w:r>
        <w:rPr>
          <w:rFonts w:eastAsia="Arial Unicode MS" w:cs="Arial" w:ascii="Arial" w:hAnsi="Arial"/>
          <w:sz w:val="22"/>
          <w:szCs w:val="20"/>
        </w:rPr>
      </w:r>
    </w:p>
    <w:p>
      <w:pPr>
        <w:pStyle w:val="Heading5"/>
        <w:tabs>
          <w:tab w:val="left" w:pos="360" w:leader="none"/>
          <w:tab w:val="left" w:pos="840" w:leader="none"/>
        </w:tabs>
        <w:ind w:hanging="2160" w:start="2160" w:end="0"/>
        <w:rPr/>
      </w:pPr>
      <w:r>
        <w:rPr/>
        <w:tab/>
      </w:r>
      <w:r>
        <w:rPr>
          <w:b w:val="false"/>
          <w:bCs w:val="false"/>
        </w:rPr>
        <w:t>B.</w:t>
        <w:tab/>
        <w:t>$72,000</w:t>
        <w:tab/>
      </w:r>
      <w:r>
        <w:rPr/>
        <w:t xml:space="preserve">Needlepoint </w:t>
      </w:r>
      <w:r>
        <w:rPr>
          <w:b w:val="false"/>
          <w:bCs w:val="false"/>
        </w:rPr>
        <w:t>- Remaining cost to be incurred by HPL on the Needlepoint project to complete the installation ($64,000 has already been spent).</w:t>
      </w:r>
    </w:p>
    <w:p>
      <w:pPr>
        <w:pStyle w:val="Normal"/>
        <w:rPr>
          <w:rFonts w:ascii="Arial" w:hAnsi="Arial" w:eastAsia="Arial Unicode MS" w:cs="Arial"/>
          <w:b/>
          <w:bCs/>
          <w:sz w:val="22"/>
          <w:szCs w:val="20"/>
        </w:rPr>
      </w:pPr>
      <w:r>
        <w:rPr>
          <w:rFonts w:eastAsia="Arial Unicode MS" w:cs="Arial" w:ascii="Arial" w:hAnsi="Arial"/>
          <w:b/>
          <w:bCs/>
          <w:sz w:val="22"/>
          <w:szCs w:val="20"/>
        </w:rPr>
      </w:r>
    </w:p>
    <w:p>
      <w:pPr>
        <w:pStyle w:val="Normal"/>
        <w:tabs>
          <w:tab w:val="clear" w:pos="720"/>
          <w:tab w:val="left" w:pos="360" w:leader="none"/>
        </w:tabs>
        <w:rPr>
          <w:rFonts w:ascii="Arial" w:hAnsi="Arial" w:cs="Arial"/>
          <w:b/>
          <w:bCs/>
          <w:sz w:val="22"/>
          <w:szCs w:val="20"/>
        </w:rPr>
      </w:pPr>
      <w:r>
        <w:rPr>
          <w:rFonts w:cs="Arial" w:ascii="Arial" w:hAnsi="Arial"/>
          <w:b/>
          <w:bCs/>
          <w:sz w:val="22"/>
          <w:szCs w:val="20"/>
        </w:rPr>
        <w:t>4.</w:t>
        <w:tab/>
        <w:t>ENA – Entex Audit</w:t>
      </w:r>
    </w:p>
    <w:p>
      <w:pPr>
        <w:pStyle w:val="Normal"/>
        <w:tabs>
          <w:tab w:val="clear" w:pos="720"/>
          <w:tab w:val="left" w:pos="360" w:leader="none"/>
        </w:tabs>
        <w:rPr>
          <w:rFonts w:ascii="Arial" w:hAnsi="Arial" w:cs="Arial"/>
          <w:b/>
          <w:bCs/>
          <w:sz w:val="22"/>
          <w:szCs w:val="20"/>
        </w:rPr>
      </w:pPr>
      <w:r>
        <w:rPr>
          <w:rFonts w:cs="Arial" w:ascii="Arial" w:hAnsi="Arial"/>
          <w:b/>
          <w:bCs/>
          <w:sz w:val="22"/>
          <w:szCs w:val="20"/>
        </w:rPr>
      </w:r>
    </w:p>
    <w:p>
      <w:pPr>
        <w:pStyle w:val="Normal"/>
        <w:tabs>
          <w:tab w:val="clear" w:pos="720"/>
          <w:tab w:val="left" w:pos="360" w:leader="none"/>
        </w:tabs>
        <w:rPr>
          <w:rFonts w:ascii="Arial" w:hAnsi="Arial" w:cs="Arial"/>
          <w:sz w:val="22"/>
          <w:szCs w:val="20"/>
        </w:rPr>
      </w:pPr>
      <w:r>
        <w:rPr>
          <w:rFonts w:cs="Arial" w:ascii="Arial" w:hAnsi="Arial"/>
          <w:sz w:val="22"/>
          <w:szCs w:val="20"/>
        </w:rPr>
      </w:r>
    </w:p>
    <w:p>
      <w:pPr>
        <w:pStyle w:val="Normal"/>
        <w:tabs>
          <w:tab w:val="clear" w:pos="720"/>
          <w:tab w:val="left" w:pos="360" w:leader="none"/>
        </w:tabs>
        <w:ind w:start="360" w:end="0"/>
        <w:rPr>
          <w:rFonts w:ascii="Arial" w:hAnsi="Arial" w:cs="Arial"/>
          <w:sz w:val="22"/>
          <w:szCs w:val="20"/>
        </w:rPr>
      </w:pPr>
      <w:r>
        <w:rPr>
          <w:rFonts w:cs="Arial" w:ascii="Arial" w:hAnsi="Arial"/>
          <w:sz w:val="22"/>
          <w:szCs w:val="20"/>
        </w:rPr>
        <w:t>In 2000 ENA hired Arthur Andersen to conduct an audit of the contracts and contract transactions between ENA and Entex for the twelve month period of April 1, 1999 through March 31, 2000.  The following is a summary of the audit findings:</w:t>
      </w:r>
    </w:p>
    <w:p>
      <w:pPr>
        <w:pStyle w:val="Normal"/>
        <w:tabs>
          <w:tab w:val="clear" w:pos="720"/>
          <w:tab w:val="left" w:pos="900" w:leader="none"/>
        </w:tabs>
        <w:rPr>
          <w:rFonts w:ascii="Arial" w:hAnsi="Arial" w:cs="Arial"/>
          <w:sz w:val="22"/>
          <w:szCs w:val="20"/>
        </w:rPr>
      </w:pPr>
      <w:r>
        <w:rPr>
          <w:rFonts w:cs="Arial" w:ascii="Arial" w:hAnsi="Arial"/>
          <w:sz w:val="22"/>
          <w:szCs w:val="20"/>
        </w:rPr>
      </w:r>
    </w:p>
    <w:p>
      <w:pPr>
        <w:pStyle w:val="BodyTextIndent2"/>
        <w:tabs>
          <w:tab w:val="clear" w:pos="2520"/>
          <w:tab w:val="left" w:pos="840" w:leader="none"/>
        </w:tabs>
        <w:ind w:hanging="480" w:start="840" w:end="0"/>
        <w:rPr>
          <w:rFonts w:eastAsia="Arial Unicode MS"/>
          <w:sz w:val="22"/>
        </w:rPr>
      </w:pPr>
      <w:r>
        <w:rPr>
          <w:sz w:val="22"/>
        </w:rPr>
        <w:t>A.</w:t>
        <w:tab/>
        <w:t>810,474 MMBtu bought from Enron to supply Entex's industrial and large commercial customers should have been classified as residential gas supply.</w:t>
      </w:r>
    </w:p>
    <w:p>
      <w:pPr>
        <w:pStyle w:val="Normal"/>
        <w:tabs>
          <w:tab w:val="clear" w:pos="720"/>
          <w:tab w:val="left" w:pos="900" w:leader="none"/>
        </w:tabs>
        <w:ind w:start="360" w:end="0"/>
        <w:rPr>
          <w:rFonts w:ascii="Arial" w:hAnsi="Arial" w:eastAsia="Arial Unicode MS" w:cs="Arial"/>
          <w:sz w:val="22"/>
        </w:rPr>
      </w:pPr>
      <w:r>
        <w:rPr>
          <w:rFonts w:eastAsia="Arial Unicode MS" w:cs="Arial" w:ascii="Arial" w:hAnsi="Arial"/>
          <w:sz w:val="22"/>
        </w:rPr>
      </w:r>
    </w:p>
    <w:p>
      <w:pPr>
        <w:pStyle w:val="Normal"/>
        <w:tabs>
          <w:tab w:val="clear" w:pos="720"/>
          <w:tab w:val="left" w:pos="840" w:leader="none"/>
          <w:tab w:val="left" w:pos="2160" w:leader="none"/>
        </w:tabs>
        <w:ind w:hanging="480" w:start="840" w:end="0"/>
        <w:rPr>
          <w:rFonts w:ascii="Arial" w:hAnsi="Arial" w:eastAsia="Arial Unicode MS" w:cs="Arial"/>
          <w:sz w:val="22"/>
          <w:szCs w:val="20"/>
        </w:rPr>
      </w:pPr>
      <w:r>
        <w:rPr>
          <w:rFonts w:cs="Arial" w:ascii="Arial" w:hAnsi="Arial"/>
          <w:sz w:val="22"/>
        </w:rPr>
        <w:t>B.</w:t>
        <w:tab/>
      </w:r>
      <w:r>
        <w:rPr>
          <w:rFonts w:cs="Arial" w:ascii="Arial" w:hAnsi="Arial"/>
          <w:sz w:val="22"/>
          <w:szCs w:val="20"/>
        </w:rPr>
        <w:t>782,557 MMBtu bought from non-Enron suppliers for Entex's industrial and large commercial customers should be considered as residential supply under the terms of the Enron-Entex contract.</w:t>
      </w:r>
    </w:p>
    <w:p>
      <w:pPr>
        <w:pStyle w:val="Normal"/>
        <w:ind w:start="360" w:end="0"/>
        <w:rPr>
          <w:rFonts w:ascii="Arial" w:hAnsi="Arial" w:eastAsia="Arial Unicode MS" w:cs="Arial"/>
          <w:sz w:val="22"/>
          <w:szCs w:val="20"/>
        </w:rPr>
      </w:pPr>
      <w:r>
        <w:rPr>
          <w:rFonts w:eastAsia="Arial Unicode MS" w:cs="Arial" w:ascii="Arial" w:hAnsi="Arial"/>
          <w:sz w:val="22"/>
          <w:szCs w:val="20"/>
        </w:rPr>
      </w:r>
    </w:p>
    <w:p>
      <w:pPr>
        <w:pStyle w:val="Normal"/>
        <w:numPr>
          <w:ilvl w:val="0"/>
          <w:numId w:val="2"/>
        </w:numPr>
        <w:tabs>
          <w:tab w:val="clear" w:pos="720"/>
          <w:tab w:val="left" w:pos="840" w:leader="none"/>
          <w:tab w:val="left" w:pos="2160" w:leader="none"/>
        </w:tabs>
        <w:ind w:hanging="480" w:start="840" w:end="0"/>
        <w:rPr>
          <w:rFonts w:ascii="Arial" w:hAnsi="Arial" w:cs="Arial"/>
          <w:sz w:val="22"/>
          <w:szCs w:val="20"/>
        </w:rPr>
      </w:pPr>
      <w:r>
        <w:rPr>
          <w:rFonts w:cs="Arial" w:ascii="Arial" w:hAnsi="Arial"/>
          <w:sz w:val="22"/>
          <w:szCs w:val="20"/>
        </w:rPr>
        <w:t>2,280,003 MMBtu was bought by Entex from non-Enron suppliers above the Entex-Enron contract limits on residential purchases.</w:t>
      </w:r>
    </w:p>
    <w:p>
      <w:pPr>
        <w:pStyle w:val="Normal"/>
        <w:tabs>
          <w:tab w:val="clear" w:pos="720"/>
          <w:tab w:val="left" w:pos="840" w:leader="none"/>
          <w:tab w:val="left" w:pos="2160" w:leader="none"/>
        </w:tabs>
        <w:ind w:start="360" w:end="0"/>
        <w:rPr>
          <w:rFonts w:ascii="Arial" w:hAnsi="Arial" w:cs="Arial"/>
          <w:sz w:val="22"/>
          <w:szCs w:val="20"/>
        </w:rPr>
      </w:pPr>
      <w:r>
        <w:rPr>
          <w:rFonts w:cs="Arial" w:ascii="Arial" w:hAnsi="Arial"/>
          <w:sz w:val="22"/>
          <w:szCs w:val="20"/>
        </w:rPr>
      </w:r>
    </w:p>
    <w:p>
      <w:pPr>
        <w:pStyle w:val="Normal"/>
        <w:tabs>
          <w:tab w:val="clear" w:pos="720"/>
          <w:tab w:val="left" w:pos="360" w:leader="none"/>
        </w:tabs>
        <w:rPr>
          <w:rFonts w:ascii="Arial" w:hAnsi="Arial" w:cs="Arial"/>
          <w:b/>
          <w:bCs/>
          <w:sz w:val="22"/>
          <w:szCs w:val="20"/>
        </w:rPr>
      </w:pPr>
      <w:r>
        <w:rPr>
          <w:rFonts w:cs="Arial" w:ascii="Arial" w:hAnsi="Arial"/>
          <w:b/>
          <w:bCs/>
          <w:sz w:val="22"/>
          <w:szCs w:val="20"/>
        </w:rPr>
        <w:t>5.</w:t>
        <w:tab/>
        <w:t>HPL - Customer Imbalances</w:t>
      </w:r>
    </w:p>
    <w:p>
      <w:pPr>
        <w:pStyle w:val="Normal"/>
        <w:tabs>
          <w:tab w:val="clear" w:pos="720"/>
          <w:tab w:val="left" w:pos="840" w:leader="none"/>
          <w:tab w:val="left" w:pos="2160" w:leader="none"/>
        </w:tabs>
        <w:ind w:start="360" w:end="0"/>
        <w:rPr>
          <w:rFonts w:ascii="Arial" w:hAnsi="Arial" w:cs="Arial"/>
          <w:b/>
          <w:bCs/>
          <w:sz w:val="22"/>
          <w:szCs w:val="20"/>
        </w:rPr>
      </w:pPr>
      <w:r>
        <w:rPr>
          <w:rFonts w:cs="Arial" w:ascii="Arial" w:hAnsi="Arial"/>
          <w:b/>
          <w:bCs/>
          <w:sz w:val="22"/>
          <w:szCs w:val="20"/>
        </w:rPr>
      </w:r>
    </w:p>
    <w:p>
      <w:pPr>
        <w:pStyle w:val="Normal"/>
        <w:tabs>
          <w:tab w:val="clear" w:pos="720"/>
          <w:tab w:val="left" w:pos="360" w:leader="none"/>
          <w:tab w:val="left" w:pos="2160" w:leader="none"/>
        </w:tabs>
        <w:rPr>
          <w:rFonts w:ascii="Arial" w:hAnsi="Arial" w:cs="Arial"/>
          <w:sz w:val="22"/>
          <w:szCs w:val="20"/>
        </w:rPr>
      </w:pPr>
      <w:r>
        <w:rPr>
          <w:rFonts w:cs="Arial" w:ascii="Arial" w:hAnsi="Arial"/>
          <w:sz w:val="22"/>
          <w:szCs w:val="20"/>
        </w:rPr>
        <w:tab/>
        <w:t>The following Imbalances were outstanding as of March 31, 2001.</w:t>
      </w:r>
    </w:p>
    <w:p>
      <w:pPr>
        <w:pStyle w:val="Normal"/>
        <w:tabs>
          <w:tab w:val="clear" w:pos="720"/>
          <w:tab w:val="left" w:pos="840" w:leader="none"/>
          <w:tab w:val="left" w:pos="2160" w:leader="none"/>
        </w:tabs>
        <w:rPr>
          <w:rFonts w:ascii="Arial" w:hAnsi="Arial" w:cs="Arial"/>
          <w:sz w:val="22"/>
          <w:szCs w:val="20"/>
        </w:rPr>
      </w:pPr>
      <w:r>
        <w:rPr>
          <w:rFonts w:cs="Arial" w:ascii="Arial" w:hAnsi="Arial"/>
          <w:sz w:val="22"/>
          <w:szCs w:val="20"/>
        </w:rPr>
      </w:r>
    </w:p>
    <w:p>
      <w:pPr>
        <w:pStyle w:val="Normal"/>
        <w:tabs>
          <w:tab w:val="clear" w:pos="720"/>
          <w:tab w:val="left" w:pos="840" w:leader="none"/>
          <w:tab w:val="left" w:pos="2160" w:leader="none"/>
        </w:tabs>
        <w:ind w:start="720" w:end="0"/>
        <w:rPr>
          <w:rFonts w:ascii="Arial" w:hAnsi="Arial" w:cs="Arial"/>
          <w:sz w:val="22"/>
          <w:szCs w:val="20"/>
        </w:rPr>
      </w:pPr>
      <w:r>
        <w:rPr>
          <w:rFonts w:cs="Arial" w:ascii="Arial" w:hAnsi="Arial"/>
          <w:sz w:val="22"/>
          <w:szCs w:val="20"/>
        </w:rPr>
        <w:t>Receivables  - 2,824,305 MMBtus</w:t>
      </w:r>
    </w:p>
    <w:p>
      <w:pPr>
        <w:pStyle w:val="Normal"/>
        <w:tabs>
          <w:tab w:val="clear" w:pos="720"/>
          <w:tab w:val="left" w:pos="840" w:leader="none"/>
          <w:tab w:val="left" w:pos="2160" w:leader="none"/>
        </w:tabs>
        <w:ind w:start="720" w:end="0"/>
        <w:rPr>
          <w:rFonts w:ascii="Arial" w:hAnsi="Arial" w:cs="Arial"/>
          <w:sz w:val="22"/>
          <w:szCs w:val="20"/>
        </w:rPr>
      </w:pPr>
      <w:r>
        <w:rPr>
          <w:rFonts w:cs="Arial" w:ascii="Arial" w:hAnsi="Arial"/>
          <w:sz w:val="22"/>
          <w:szCs w:val="20"/>
        </w:rPr>
      </w:r>
    </w:p>
    <w:p>
      <w:pPr>
        <w:pStyle w:val="Normal"/>
        <w:tabs>
          <w:tab w:val="clear" w:pos="720"/>
          <w:tab w:val="left" w:pos="840" w:leader="none"/>
          <w:tab w:val="left" w:pos="2160" w:leader="none"/>
        </w:tabs>
        <w:ind w:start="720" w:end="0"/>
        <w:rPr>
          <w:rFonts w:ascii="Arial" w:hAnsi="Arial" w:cs="Arial"/>
          <w:sz w:val="22"/>
          <w:szCs w:val="20"/>
        </w:rPr>
      </w:pPr>
      <w:r>
        <w:rPr>
          <w:rFonts w:cs="Arial" w:ascii="Arial" w:hAnsi="Arial"/>
          <w:sz w:val="22"/>
          <w:szCs w:val="20"/>
        </w:rPr>
        <w:t>Payables  - 3,233,499 MMBtus</w:t>
      </w:r>
    </w:p>
    <w:p>
      <w:pPr>
        <w:pStyle w:val="Normal"/>
        <w:tabs>
          <w:tab w:val="clear" w:pos="720"/>
          <w:tab w:val="left" w:pos="840" w:leader="none"/>
          <w:tab w:val="left" w:pos="2160" w:leader="none"/>
        </w:tabs>
        <w:rPr>
          <w:rFonts w:ascii="Arial" w:hAnsi="Arial" w:cs="Arial"/>
          <w:sz w:val="22"/>
          <w:szCs w:val="20"/>
        </w:rPr>
      </w:pPr>
      <w:r>
        <w:rPr>
          <w:rFonts w:cs="Arial" w:ascii="Arial" w:hAnsi="Arial"/>
          <w:sz w:val="22"/>
          <w:szCs w:val="20"/>
        </w:rPr>
      </w:r>
    </w:p>
    <w:sectPr>
      <w:type w:val="nextPage"/>
      <w:pgSz w:w="12240" w:h="15840"/>
      <w:pgMar w:left="864" w:right="864" w:gutter="0" w:header="0" w:top="432"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720"/>
        </w:tabs>
        <w:ind w:start="720" w:hanging="360"/>
      </w:pPr>
      <w:rPr>
        <w:rFonts w:eastAsia="Arial Unicode MS"/>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paragraph" w:styleId="Heading2">
    <w:name w:val="heading 2"/>
    <w:basedOn w:val="Normal"/>
    <w:next w:val="Normal"/>
    <w:qFormat/>
    <w:pPr>
      <w:keepNext w:val="true"/>
      <w:numPr>
        <w:ilvl w:val="1"/>
        <w:numId w:val="1"/>
      </w:numPr>
      <w:jc w:val="end"/>
      <w:outlineLvl w:val="1"/>
    </w:pPr>
    <w:rPr>
      <w:rFonts w:ascii="Arial" w:hAnsi="Arial" w:cs="Arial"/>
      <w:b/>
      <w:bCs/>
      <w:sz w:val="20"/>
      <w:szCs w:val="20"/>
    </w:rPr>
  </w:style>
  <w:style w:type="paragraph" w:styleId="Heading3">
    <w:name w:val="heading 3"/>
    <w:basedOn w:val="Normal"/>
    <w:next w:val="Normal"/>
    <w:qFormat/>
    <w:pPr>
      <w:keepNext w:val="true"/>
      <w:numPr>
        <w:ilvl w:val="2"/>
        <w:numId w:val="1"/>
      </w:numPr>
      <w:outlineLvl w:val="2"/>
    </w:pPr>
    <w:rPr>
      <w:rFonts w:ascii="Arial" w:hAnsi="Arial" w:cs="Arial"/>
      <w:b/>
      <w:bCs/>
      <w:sz w:val="20"/>
      <w:szCs w:val="20"/>
    </w:rPr>
  </w:style>
  <w:style w:type="paragraph" w:styleId="Heading4">
    <w:name w:val="heading 4"/>
    <w:basedOn w:val="Normal"/>
    <w:next w:val="Normal"/>
    <w:qFormat/>
    <w:pPr>
      <w:keepNext w:val="true"/>
      <w:numPr>
        <w:ilvl w:val="3"/>
        <w:numId w:val="1"/>
      </w:numPr>
      <w:tabs>
        <w:tab w:val="clear" w:pos="720"/>
        <w:tab w:val="left" w:pos="840" w:leader="none"/>
      </w:tabs>
      <w:ind w:hanging="0" w:start="360" w:end="0"/>
      <w:outlineLvl w:val="3"/>
    </w:pPr>
    <w:rPr>
      <w:rFonts w:ascii="Arial" w:hAnsi="Arial" w:eastAsia="Arial Unicode MS" w:cs="Arial"/>
      <w:b/>
      <w:bCs/>
      <w:sz w:val="22"/>
      <w:szCs w:val="20"/>
    </w:rPr>
  </w:style>
  <w:style w:type="paragraph" w:styleId="Heading5">
    <w:name w:val="heading 5"/>
    <w:basedOn w:val="Normal"/>
    <w:next w:val="Normal"/>
    <w:qFormat/>
    <w:pPr>
      <w:keepNext w:val="true"/>
      <w:numPr>
        <w:ilvl w:val="4"/>
        <w:numId w:val="1"/>
      </w:numPr>
      <w:tabs>
        <w:tab w:val="clear" w:pos="720"/>
        <w:tab w:val="left" w:pos="360" w:leader="none"/>
      </w:tabs>
      <w:outlineLvl w:val="4"/>
    </w:pPr>
    <w:rPr>
      <w:rFonts w:ascii="Arial" w:hAnsi="Arial" w:cs="Arial"/>
      <w:b/>
      <w:bCs/>
      <w:sz w:val="22"/>
      <w:szCs w:val="20"/>
    </w:rPr>
  </w:style>
  <w:style w:type="paragraph" w:styleId="Heading6">
    <w:name w:val="heading 6"/>
    <w:basedOn w:val="Normal"/>
    <w:next w:val="Normal"/>
    <w:qFormat/>
    <w:pPr>
      <w:keepNext w:val="true"/>
      <w:numPr>
        <w:ilvl w:val="5"/>
        <w:numId w:val="1"/>
      </w:numPr>
      <w:outlineLvl w:val="5"/>
    </w:pPr>
    <w:rPr>
      <w:rFonts w:ascii="Arial" w:hAnsi="Arial" w:cs="Arial"/>
      <w:color w:val="FF0000"/>
      <w:sz w:val="36"/>
    </w:rPr>
  </w:style>
  <w:style w:type="character" w:styleId="WW8Num1z0">
    <w:name w:val="WW8Num1z0"/>
    <w:qFormat/>
    <w:rPr>
      <w:rFonts w:eastAsia="Arial Unicode MS"/>
    </w:rPr>
  </w:style>
  <w:style w:type="character" w:styleId="WW8Num1z1">
    <w:name w:val="WW8Num1z1"/>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s>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840" w:end="0"/>
      <w:jc w:val="both"/>
    </w:pPr>
    <w:rPr>
      <w:rFonts w:ascii="Arial" w:hAnsi="Arial" w:cs="Arial"/>
      <w:sz w:val="20"/>
      <w:szCs w:val="20"/>
    </w:rPr>
  </w:style>
  <w:style w:type="paragraph" w:styleId="BodyTextIndent2">
    <w:name w:val="Body Text Indent 2"/>
    <w:basedOn w:val="Normal"/>
    <w:qFormat/>
    <w:pPr>
      <w:tabs>
        <w:tab w:val="clear" w:pos="720"/>
        <w:tab w:val="left" w:pos="2520" w:leader="none"/>
      </w:tabs>
      <w:ind w:hanging="360" w:start="2520" w:end="0"/>
    </w:pPr>
    <w:rPr>
      <w:rFonts w:ascii="Arial" w:hAnsi="Arial" w:cs="Arial"/>
      <w:sz w:val="20"/>
      <w:szCs w:val="20"/>
    </w:rPr>
  </w:style>
  <w:style w:type="paragraph" w:styleId="BodyTextIndent3">
    <w:name w:val="Body Text Indent 3"/>
    <w:basedOn w:val="Normal"/>
    <w:qFormat/>
    <w:pPr>
      <w:ind w:firstLine="720" w:start="1440" w:end="0"/>
    </w:pPr>
    <w:rPr>
      <w:rFonts w:ascii="Arial" w:hAnsi="Arial" w:cs="Arial"/>
      <w:sz w:val="22"/>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2001-05-22T22:19:00Z</dcterms:created>
  <dc:creator>llunz</dc:creator>
  <dc:description/>
  <dc:language>en-CA</dc:language>
  <cp:lastModifiedBy>bredmon</cp:lastModifiedBy>
  <cp:lastPrinted>2001-05-22T22:16:00Z</cp:lastPrinted>
  <dcterms:modified xsi:type="dcterms:W3CDTF">2001-05-23T00:55:00Z</dcterms:modified>
  <cp:revision>5</cp:revision>
  <dc:subject/>
  <dc:title> </dc:title>
</cp:coreProperties>
</file>