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904" w:leader="none"/>
        </w:tabs>
        <w:spacing w:lineRule="auto" w:line="218"/>
        <w:jc w:val="end"/>
        <w:rPr>
          <w:b/>
          <w:i/>
          <w:i/>
        </w:rPr>
      </w:pPr>
      <w:r>
        <w:rPr>
          <w:b/>
          <w:i/>
        </w:rPr>
      </w:r>
    </w:p>
    <w:p>
      <w:pPr>
        <w:pStyle w:val="Normal"/>
        <w:widowControl/>
        <w:tabs>
          <w:tab w:val="clear" w:pos="720"/>
          <w:tab w:val="center" w:pos="4904" w:leader="none"/>
        </w:tabs>
        <w:jc w:val="both"/>
        <w:rPr/>
      </w:pPr>
      <w:r>
        <w:rPr/>
        <w:tab/>
      </w:r>
      <w:r>
        <w:rPr/>
        <w:fldChar w:fldCharType="begin"/>
      </w:r>
      <w:r>
        <w:rPr/>
        <w:instrText xml:space="preserve"> DATE \@"MMMM\ d', 'yyyy" </w:instrText>
      </w:r>
      <w:r>
        <w:rPr/>
        <w:fldChar w:fldCharType="separate"/>
      </w:r>
      <w:r>
        <w:rPr/>
        <w:t>September 28, 2025</w:t>
      </w:r>
      <w:r>
        <w:rPr/>
        <w:fldChar w:fldCharType="end"/>
      </w:r>
    </w:p>
    <w:p>
      <w:pPr>
        <w:pStyle w:val="Normal"/>
        <w:widowControl/>
        <w:spacing w:lineRule="auto" w:line="218"/>
        <w:jc w:val="both"/>
        <w:rPr/>
      </w:pPr>
      <w:r>
        <w:rPr/>
      </w:r>
    </w:p>
    <w:p>
      <w:pPr>
        <w:pStyle w:val="Normal"/>
        <w:widowControl/>
        <w:spacing w:lineRule="auto" w:line="218"/>
        <w:jc w:val="both"/>
        <w:rPr/>
      </w:pPr>
      <w:r>
        <w:rPr/>
      </w:r>
    </w:p>
    <w:p>
      <w:pPr>
        <w:pStyle w:val="OldHeading2"/>
        <w:rPr/>
      </w:pPr>
      <w:r>
        <w:rPr/>
        <w:t>Via Facsimile (713) 646-3239</w:t>
      </w:r>
    </w:p>
    <w:p>
      <w:pPr>
        <w:pStyle w:val="Normal"/>
        <w:rPr/>
      </w:pPr>
      <w:r>
        <w:rPr/>
      </w:r>
    </w:p>
    <w:p>
      <w:pPr>
        <w:pStyle w:val="Normal"/>
        <w:widowControl/>
        <w:jc w:val="both"/>
        <w:rPr/>
      </w:pPr>
      <w:r>
        <w:rPr/>
        <w:t>Enron North America Corp.</w:t>
      </w:r>
    </w:p>
    <w:p>
      <w:pPr>
        <w:pStyle w:val="Normal"/>
        <w:widowControl/>
        <w:jc w:val="both"/>
        <w:rPr/>
      </w:pPr>
      <w:r>
        <w:rPr/>
        <w:t>1400 Smith Street</w:t>
      </w:r>
    </w:p>
    <w:p>
      <w:pPr>
        <w:pStyle w:val="Normal"/>
        <w:widowControl/>
        <w:jc w:val="both"/>
        <w:rPr/>
      </w:pPr>
      <w:r>
        <w:rPr/>
        <w:t>Houston, TX 77002-7361</w:t>
      </w:r>
    </w:p>
    <w:p>
      <w:pPr>
        <w:pStyle w:val="Normal"/>
        <w:widowControl/>
        <w:jc w:val="both"/>
        <w:rPr/>
      </w:pPr>
      <w:r>
        <w:rPr/>
        <w:t>Attention: A. Ed McMichael, Jr.</w:t>
      </w:r>
    </w:p>
    <w:p>
      <w:pPr>
        <w:pStyle w:val="Normal"/>
        <w:widowControl/>
        <w:spacing w:lineRule="auto" w:line="218"/>
        <w:ind w:firstLine="720" w:end="0"/>
        <w:jc w:val="both"/>
        <w:rPr/>
      </w:pPr>
      <w:r>
        <w:rPr/>
      </w:r>
    </w:p>
    <w:p>
      <w:pPr>
        <w:pStyle w:val="OldHeading1"/>
        <w:rPr/>
      </w:pPr>
      <w:r>
        <w:rPr/>
        <w:t>Re: Letter Agreement Regarding Gas in Storage At Spindletop Facility</w:t>
      </w:r>
    </w:p>
    <w:p>
      <w:pPr>
        <w:pStyle w:val="Normal"/>
        <w:widowControl/>
        <w:spacing w:lineRule="auto" w:line="218"/>
        <w:jc w:val="both"/>
        <w:rPr/>
      </w:pPr>
      <w:r>
        <w:rPr/>
      </w:r>
    </w:p>
    <w:p>
      <w:pPr>
        <w:pStyle w:val="Normal"/>
        <w:widowControl/>
        <w:jc w:val="both"/>
        <w:rPr/>
      </w:pPr>
      <w:r>
        <w:rPr/>
        <w:t>Dear Mr. McMichael:</w:t>
      </w:r>
    </w:p>
    <w:p>
      <w:pPr>
        <w:pStyle w:val="Normal"/>
        <w:widowControl/>
        <w:spacing w:lineRule="auto" w:line="218"/>
        <w:jc w:val="both"/>
        <w:rPr/>
      </w:pPr>
      <w:r>
        <w:rPr/>
      </w:r>
    </w:p>
    <w:p>
      <w:pPr>
        <w:pStyle w:val="Normal"/>
        <w:widowControl/>
        <w:ind w:firstLine="720" w:end="0"/>
        <w:jc w:val="both"/>
        <w:rPr/>
      </w:pPr>
      <w:r>
        <w:rPr/>
        <w:t>Centana Intrastate Pipeline Company (“CIPCO”) agreed as of September 1, 2001, to provide Enron North America Corp. (“Shipper”) Firm gas storage service at CIPCO’s  underground gas storage facility known as the Spindletop Storage Facility (the “Facility”).  Shipper began storing approximately 1 Bcf of working gas at the Facility (the “Working Gas”) on or about September 1, 2001 under the terms of a Gas Storage Agreement negotiated between the parties (the “Storage Agreement”).  Shipper made only  the September 2001 storage fee payment under the Storage Agreement before filing for bankruptcy protection under the Bankruptcy Code on December 2, 2001.  To date, Shipper has failed to make any storage fee payments under the Storage Agreement other than the September payment.</w:t>
      </w:r>
    </w:p>
    <w:p>
      <w:pPr>
        <w:pStyle w:val="Normal"/>
        <w:widowControl/>
        <w:spacing w:lineRule="auto" w:line="218"/>
        <w:ind w:firstLine="720" w:end="0"/>
        <w:jc w:val="both"/>
        <w:rPr/>
      </w:pPr>
      <w:r>
        <w:rPr/>
      </w:r>
    </w:p>
    <w:p>
      <w:pPr>
        <w:pStyle w:val="Normal"/>
        <w:widowControl/>
        <w:ind w:firstLine="720" w:end="0"/>
        <w:jc w:val="both"/>
        <w:rPr/>
      </w:pPr>
      <w:r>
        <w:rPr/>
        <w:t xml:space="preserve">CIPCO and Shipper have been negotiating a resolution of the storage fees currently owed by Shipper under the Storage Agreement and this letter agreement shall set forth the terms of their agreement (this “Letter Agreement”).  Shipper desires to sell all of the Working Gas to CIPCO under the terms set forth in this Letter Agreement.  </w:t>
      </w:r>
    </w:p>
    <w:p>
      <w:pPr>
        <w:pStyle w:val="Normal"/>
        <w:widowControl/>
        <w:spacing w:lineRule="auto" w:line="218"/>
        <w:ind w:firstLine="720" w:end="0"/>
        <w:jc w:val="both"/>
        <w:rPr/>
      </w:pPr>
      <w:r>
        <w:rPr/>
      </w:r>
    </w:p>
    <w:p>
      <w:pPr>
        <w:pStyle w:val="Normal"/>
        <w:widowControl/>
        <w:ind w:firstLine="720" w:end="0"/>
        <w:jc w:val="both"/>
        <w:rPr/>
      </w:pPr>
      <w:r>
        <w:rPr/>
        <w:t>CIPCO agrees to buy the Working Gas, and Shipper agrees to sell the Working Gas under the following terms and conditions:</w:t>
      </w:r>
    </w:p>
    <w:p>
      <w:pPr>
        <w:pStyle w:val="Normal"/>
        <w:widowControl/>
        <w:spacing w:lineRule="auto" w:line="218"/>
        <w:ind w:firstLine="720" w:end="0"/>
        <w:jc w:val="both"/>
        <w:rPr/>
      </w:pPr>
      <w:r>
        <w:rPr/>
      </w:r>
    </w:p>
    <w:p>
      <w:pPr>
        <w:pStyle w:val="Normal"/>
        <w:widowControl/>
        <w:spacing w:lineRule="auto" w:line="218"/>
        <w:ind w:firstLine="72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Working Gas:</w:t>
        <w:tab/>
        <w:tab/>
        <w:t xml:space="preserve">1,006,884 MMBtu at the Facility. </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8"/>
        <w:ind w:hanging="2430" w:start="315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Gas Price:</w:t>
        <w:tab/>
        <w:tab/>
        <w:t>Gas Price shall be the Daily Index Price for the Purchase Date as published daily in Gas Daily’s “Daily Price Survey” in the midpoint column under the section titled “East-Houston-Katy, Houston Ship Channel” less $0.03 per MMBtu dry or a mutually agreeable fixed price.</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Purchase Price:</w:t>
        <w:tab/>
        <w:t xml:space="preserve">The product of the Working Gas multiplied by the Gas Price. </w:t>
        <w:b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CIPCO Withholding:</w:t>
        <w:tab/>
        <w:t>Shipper agrees to pay the storage fees for the time period of December 2, 2001 through March 27, 2002 (post-bankruptcy), which total $___,000.  The payment of these storage fees of $___,000 shall be made by a reduction of this amount from the Purchase Price.  This payment shall be in full satisfaction of all obligations of the Shipper for storage fees under the Storage Agreement from and after December 2, 2001.</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r>
    </w:p>
    <w:p>
      <w:pPr>
        <w:pStyle w:val="BodyTextIndent3"/>
        <w:tabs>
          <w:tab w:val="clear" w:pos="2880"/>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rPr>
          <w:u w:val="none"/>
        </w:rPr>
      </w:pPr>
      <w:r>
        <w:rPr>
          <w:u w:val="none"/>
        </w:rPr>
        <w:t>Escrowed Funds:</w:t>
        <w:tab/>
        <w:t xml:space="preserve">Shipper shall deduct from the Purchase Price and shall place into an escrow account storage fees for the time period of October 1, 2001 through December 2, 2001 (pre-bankruptcy), which total $224,000.  This amount shall remain in the escrow account until CIPCO’s rights to recoupment and set-off have been  determined by the bankruptcy court or the parties have reached a mutually acceptable written agreement regarding the disposition of the escrowed funds and that agreement has been approved by the bankruptcy court.  </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 xml:space="preserve">                             </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Purchase Date:</w:t>
        <w:tab/>
        <w:t>March 27, 2002</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No Warranty:</w:t>
        <w:tab/>
        <w:tab/>
      </w:r>
      <w:r>
        <w:rPr>
          <w:b/>
        </w:rPr>
        <w:t xml:space="preserve">THIS SALE AND CONVEYANCE BY SHIPPER TO CIPCO OF THE WORKING GAS IS MADE WITHOUT ANY WARRANTY OTHER THAN WARRANTY AS TO TITLE, INCLUDING, WITHOUT LIMITATION, FITNESS FOR ANY ORDINARY USE, OR FITNESS FOR ANY INTENDED USE OR PARTICULAR PURPOSE.  </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b/>
        </w:rPr>
      </w:pPr>
      <w:r>
        <w:rPr>
          <w:b/>
        </w:rPr>
      </w:r>
    </w:p>
    <w:p>
      <w:pPr>
        <w:pStyle w:val="HTMLPreformatted"/>
        <w:rPr/>
      </w:pPr>
      <w:r>
        <w:rPr/>
        <w:t xml:space="preserve">             </w:t>
      </w:r>
      <w:r>
        <w:rPr>
          <w:rFonts w:cs="Times New Roman" w:ascii="Times New Roman" w:hAnsi="Times New Roman"/>
          <w:sz w:val="24"/>
        </w:rPr>
        <w:t>Title:</w:t>
        <w:tab/>
        <w:tab/>
        <w:t xml:space="preserve">       Shipper warrants title to the Working Gas. </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rFonts w:ascii="Times New Roman" w:hAnsi="Times New Roman" w:cs="Times New Roman"/>
          <w:sz w:val="24"/>
        </w:rPr>
      </w:pPr>
      <w:r>
        <w:rPr>
          <w:rFonts w:cs="Times New Roman"/>
          <w:sz w:val="24"/>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8"/>
        <w:ind w:hanging="2430" w:start="315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8"/>
        <w:ind w:hanging="2430" w:start="3150" w:end="0"/>
        <w:jc w:val="both"/>
        <w:rPr/>
      </w:pPr>
      <w:r>
        <w:rPr/>
        <w:t>Applicable Law</w:t>
        <w:tab/>
        <w:t>This Letter Agreement and the rights and duties of the parties arising out of this Letter Agreement shall be governed by and construed, enforced and performed in accordance with the laws of the state of Texas, without regard to principles of conflicts of law.</w:t>
        <w:tab/>
      </w:r>
    </w:p>
    <w:p>
      <w:pPr>
        <w:pStyle w:val="Normal"/>
        <w:widowControl/>
        <w:spacing w:lineRule="auto" w:line="218"/>
        <w:ind w:firstLine="720" w:end="0"/>
        <w:jc w:val="both"/>
        <w:rPr/>
      </w:pPr>
      <w:r>
        <w:rPr/>
      </w:r>
    </w:p>
    <w:p>
      <w:pPr>
        <w:pStyle w:val="BodyTextIndent"/>
        <w:spacing w:lineRule="auto" w:line="240"/>
        <w:rPr/>
      </w:pPr>
      <w:r>
        <w:rPr/>
        <w:t xml:space="preserve">If this Letter Agreement correctly sets forth the terms of our agreement with respect to this matter, please promptly confirm in a reply to us by signing below and returning a copy of this Letter Agreement to the undersigned by facsimile transmission at (303) 893-8902.   </w:t>
      </w:r>
    </w:p>
    <w:p>
      <w:pPr>
        <w:pStyle w:val="BodyTextIndent"/>
        <w:spacing w:lineRule="auto" w:line="240"/>
        <w:rPr/>
      </w:pPr>
      <w:r>
        <w:rPr/>
      </w:r>
    </w:p>
    <w:p>
      <w:pPr>
        <w:pStyle w:val="BodyTextIndent"/>
        <w:spacing w:lineRule="auto" w:line="240"/>
        <w:rPr/>
      </w:pPr>
      <w:r>
        <w:rPr/>
      </w:r>
    </w:p>
    <w:p>
      <w:pPr>
        <w:pStyle w:val="Normal"/>
        <w:widowControl/>
        <w:spacing w:lineRule="auto" w:line="218"/>
        <w:jc w:val="both"/>
        <w:rPr/>
      </w:pPr>
      <w:r>
        <w:rPr/>
      </w:r>
    </w:p>
    <w:p>
      <w:pPr>
        <w:pStyle w:val="Normal"/>
        <w:ind w:start="4320" w:end="0"/>
        <w:rPr/>
      </w:pPr>
      <w:r>
        <w:rPr/>
        <w:t>Very truly yours,</w:t>
      </w:r>
    </w:p>
    <w:p>
      <w:pPr>
        <w:pStyle w:val="Normal"/>
        <w:ind w:start="4320" w:end="0"/>
        <w:rPr/>
      </w:pPr>
      <w:r>
        <w:rPr/>
      </w:r>
    </w:p>
    <w:p>
      <w:pPr>
        <w:pStyle w:val="Normal"/>
        <w:ind w:start="4320" w:end="-90"/>
        <w:rPr/>
      </w:pPr>
      <w:r>
        <w:rPr/>
        <w:t xml:space="preserve">CENTANA INTRASTATE PIPELINE COMPANY, </w:t>
      </w:r>
    </w:p>
    <w:p>
      <w:pPr>
        <w:pStyle w:val="Normal"/>
        <w:ind w:start="4320" w:end="-90"/>
        <w:rPr/>
      </w:pPr>
      <w:r>
        <w:rPr/>
        <w:t>a Delaware Corporation</w:t>
      </w:r>
    </w:p>
    <w:p>
      <w:pPr>
        <w:pStyle w:val="Normal"/>
        <w:ind w:start="4320" w:end="-90"/>
        <w:rPr/>
      </w:pPr>
      <w:r>
        <w:rPr/>
      </w:r>
    </w:p>
    <w:p>
      <w:pPr>
        <w:pStyle w:val="Normal"/>
        <w:ind w:start="4320" w:end="-90"/>
        <w:rPr/>
      </w:pPr>
      <w:r>
        <w:rPr/>
      </w:r>
    </w:p>
    <w:p>
      <w:pPr>
        <w:pStyle w:val="Normal"/>
        <w:ind w:start="4320" w:end="-90"/>
        <w:rPr/>
      </w:pPr>
      <w:r>
        <w:rPr/>
        <w:t>By:</w:t>
      </w:r>
      <w:r>
        <w:rPr>
          <w:u w:val="single"/>
        </w:rPr>
        <w:tab/>
        <w:t xml:space="preserve">       </w:t>
        <w:tab/>
        <w:tab/>
        <w:tab/>
        <w:t xml:space="preserve">    </w:t>
        <w:tab/>
      </w:r>
    </w:p>
    <w:p>
      <w:pPr>
        <w:pStyle w:val="Normal"/>
        <w:ind w:start="4320" w:end="-90"/>
        <w:rPr>
          <w:u w:val="single"/>
        </w:rPr>
      </w:pPr>
      <w:r>
        <w:rPr>
          <w:u w:val="single"/>
        </w:rPr>
      </w:r>
    </w:p>
    <w:p>
      <w:pPr>
        <w:pStyle w:val="Normal"/>
        <w:ind w:start="4320" w:end="-90"/>
        <w:rPr/>
      </w:pPr>
      <w:r>
        <w:rPr/>
        <w:t>Title:</w:t>
      </w:r>
      <w:r>
        <w:rPr>
          <w:u w:val="single"/>
        </w:rPr>
        <w:tab/>
        <w:tab/>
        <w:tab/>
        <w:tab/>
        <w:tab/>
        <w:tab/>
      </w:r>
    </w:p>
    <w:p>
      <w:pPr>
        <w:pStyle w:val="Normal"/>
        <w:ind w:start="4320" w:end="-90"/>
        <w:rPr>
          <w:u w:val="single"/>
        </w:rPr>
      </w:pPr>
      <w:r>
        <w:rPr>
          <w:u w:val="single"/>
        </w:rPr>
      </w:r>
    </w:p>
    <w:p>
      <w:pPr>
        <w:pStyle w:val="Normal"/>
        <w:ind w:start="4320" w:end="-90"/>
        <w:rPr/>
      </w:pPr>
      <w:r>
        <w:rPr/>
      </w:r>
    </w:p>
    <w:p>
      <w:pPr>
        <w:pStyle w:val="Normal"/>
        <w:ind w:end="-90"/>
        <w:jc w:val="both"/>
        <w:rPr/>
      </w:pPr>
      <w:r>
        <w:rPr/>
        <w:t>ACCEPTED AND AGREED this 27</w:t>
      </w:r>
      <w:r>
        <w:rPr>
          <w:vertAlign w:val="superscript"/>
        </w:rPr>
        <w:t>th</w:t>
      </w:r>
      <w:r>
        <w:rPr/>
        <w:t xml:space="preserve"> day of March 2002:</w:t>
      </w:r>
    </w:p>
    <w:p>
      <w:pPr>
        <w:pStyle w:val="Normal"/>
        <w:ind w:end="-90"/>
        <w:jc w:val="both"/>
        <w:rPr/>
      </w:pPr>
      <w:r>
        <w:rPr/>
      </w:r>
    </w:p>
    <w:p>
      <w:pPr>
        <w:pStyle w:val="Normal"/>
        <w:ind w:end="-90"/>
        <w:jc w:val="both"/>
        <w:rPr/>
      </w:pPr>
      <w:r>
        <w:rPr/>
      </w:r>
    </w:p>
    <w:p>
      <w:pPr>
        <w:pStyle w:val="Normal"/>
        <w:ind w:end="-90"/>
        <w:jc w:val="both"/>
        <w:rPr/>
      </w:pPr>
      <w:r>
        <w:rPr/>
        <w:t>ENRON NORTH AMERICA CORP.,</w:t>
      </w:r>
    </w:p>
    <w:p>
      <w:pPr>
        <w:pStyle w:val="Normal"/>
        <w:ind w:end="-90"/>
        <w:jc w:val="both"/>
        <w:rPr/>
      </w:pPr>
      <w:r>
        <w:rPr/>
        <w:t>a Delaware Corporation</w:t>
      </w:r>
    </w:p>
    <w:p>
      <w:pPr>
        <w:pStyle w:val="Normal"/>
        <w:ind w:end="-90"/>
        <w:jc w:val="both"/>
        <w:rPr/>
      </w:pPr>
      <w:r>
        <w:rPr/>
      </w:r>
    </w:p>
    <w:p>
      <w:pPr>
        <w:pStyle w:val="Normal"/>
        <w:ind w:end="-90"/>
        <w:rPr/>
      </w:pPr>
      <w:r>
        <w:rPr/>
        <w:t>By:</w:t>
      </w:r>
      <w:r>
        <w:rPr>
          <w:u w:val="single"/>
        </w:rPr>
        <w:tab/>
        <w:tab/>
        <w:tab/>
        <w:tab/>
        <w:tab/>
        <w:tab/>
      </w:r>
    </w:p>
    <w:p>
      <w:pPr>
        <w:pStyle w:val="Normal"/>
        <w:ind w:end="-90"/>
        <w:rPr>
          <w:u w:val="single"/>
        </w:rPr>
      </w:pPr>
      <w:r>
        <w:rPr>
          <w:u w:val="single"/>
        </w:rPr>
      </w:r>
    </w:p>
    <w:p>
      <w:pPr>
        <w:pStyle w:val="Normal"/>
        <w:ind w:end="-90"/>
        <w:rPr/>
      </w:pPr>
      <w:r>
        <w:rPr/>
        <w:t>Title:</w:t>
      </w:r>
      <w:r>
        <w:rPr>
          <w:u w:val="single"/>
        </w:rPr>
        <w:tab/>
        <w:t>Vice President</w:t>
        <w:tab/>
        <w:tab/>
        <w:tab/>
        <w:tab/>
        <w:tab/>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1872" w:top="1928" w:footer="432"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align>bottom</wp:align>
              </wp:positionV>
              <wp:extent cx="622935"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22935" cy="365760"/>
                      </a:xfrm>
                      <a:prstGeom prst="rect"/>
                      <a:solidFill>
                        <a:srgbClr val="FFFFFF">
                          <a:alpha val="0"/>
                        </a:srgbClr>
                      </a:solidFill>
                    </wps:spPr>
                    <wps:txbx>
                      <w:txbxContent>
                        <w:p>
                          <w:pPr>
                            <w:pStyle w:val="Normal"/>
                            <w:rPr>
                              <w:rStyle w:val="DocID"/>
                            </w:rPr>
                          </w:pPr>
                          <w:r>
                            <w:rPr>
                              <w:rStyle w:val="DocID"/>
                            </w:rPr>
                            <w:fldChar w:fldCharType="begin"/>
                          </w:r>
                          <w:r>
                            <w:rPr>
                              <w:rStyle w:val="DocID"/>
                            </w:rPr>
                            <w:instrText xml:space="preserve"> DOCPROPERTY "Cus_DocIDValue"</w:instrText>
                          </w:r>
                          <w:r>
                            <w:rPr>
                              <w:rStyle w:val="DocID"/>
                            </w:rPr>
                            <w:fldChar w:fldCharType="separate"/>
                          </w:r>
                          <w:r>
                            <w:rPr>
                              <w:rStyle w:val="DocID"/>
                            </w:rPr>
                            <w:t>WAS:92260.5 </w:t>
                          </w:r>
                          <w:r>
                            <w:rPr>
                              <w:rStyle w:val="DocID"/>
                            </w:rPr>
                            <w:fldChar w:fldCharType="end"/>
                          </w:r>
                        </w:p>
                      </w:txbxContent>
                    </wps:txbx>
                    <wps:bodyPr anchor="t" lIns="0" tIns="0" rIns="0" bIns="0">
                      <a:noAutofit/>
                    </wps:bodyPr>
                  </wps:wsp>
                </a:graphicData>
              </a:graphic>
            </wp:anchor>
          </w:drawing>
        </mc:Choice>
        <mc:Fallback>
          <w:pict>
            <v:rect fillcolor="#FFFFFF" style="position:absolute;rotation:-0;width:49.0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rPr>
                    </w:pPr>
                    <w:r>
                      <w:rPr>
                        <w:rStyle w:val="DocID"/>
                      </w:rPr>
                      <w:fldChar w:fldCharType="begin"/>
                    </w:r>
                    <w:r>
                      <w:rPr>
                        <w:rStyle w:val="DocID"/>
                      </w:rPr>
                      <w:instrText xml:space="preserve"> DOCPROPERTY "Cus_DocIDValue"</w:instrText>
                    </w:r>
                    <w:r>
                      <w:rPr>
                        <w:rStyle w:val="DocID"/>
                      </w:rPr>
                      <w:fldChar w:fldCharType="separate"/>
                    </w:r>
                    <w:r>
                      <w:rPr>
                        <w:rStyle w:val="DocID"/>
                      </w:rPr>
                      <w:t>WAS:92260.5 </w:t>
                    </w:r>
                    <w:r>
                      <w:rPr>
                        <w:rStyle w:val="DocID"/>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22935"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65760"/>
                      </a:xfrm>
                      <a:prstGeom prst="rect"/>
                      <a:solidFill>
                        <a:srgbClr val="FFFFFF">
                          <a:alpha val="0"/>
                        </a:srgbClr>
                      </a:solidFill>
                    </wps:spPr>
                    <wps:txbx>
                      <w:txbxContent>
                        <w:p>
                          <w:pPr>
                            <w:pStyle w:val="Normal"/>
                            <w:rPr>
                              <w:rStyle w:val="DocID"/>
                            </w:rPr>
                          </w:pPr>
                          <w:bookmarkStart w:id="0" w:name="bkFooterDocID"/>
                          <w:bookmarkEnd w:id="0"/>
                          <w:r>
                            <w:rPr>
                              <w:rStyle w:val="DocID"/>
                            </w:rPr>
                            <w:fldChar w:fldCharType="begin"/>
                          </w:r>
                          <w:r>
                            <w:rPr>
                              <w:rStyle w:val="DocID"/>
                            </w:rPr>
                            <w:instrText xml:space="preserve"> DOCPROPERTY "Cus_DocIDValue"</w:instrText>
                          </w:r>
                          <w:r>
                            <w:rPr>
                              <w:rStyle w:val="DocID"/>
                            </w:rPr>
                            <w:fldChar w:fldCharType="separate"/>
                          </w:r>
                          <w:r>
                            <w:rPr>
                              <w:rStyle w:val="DocID"/>
                            </w:rPr>
                            <w:t>WAS:92260.5 </w:t>
                          </w:r>
                          <w:r>
                            <w:rPr>
                              <w:rStyle w:val="DocID"/>
                            </w:rPr>
                            <w:fldChar w:fldCharType="end"/>
                          </w:r>
                        </w:p>
                      </w:txbxContent>
                    </wps:txbx>
                    <wps:bodyPr anchor="t" lIns="0" tIns="0" rIns="0" bIns="0">
                      <a:noAutofit/>
                    </wps:bodyPr>
                  </wps:wsp>
                </a:graphicData>
              </a:graphic>
            </wp:anchor>
          </w:drawing>
        </mc:Choice>
        <mc:Fallback>
          <w:pict>
            <v:rect fillcolor="#FFFFFF" style="position:absolute;rotation:-0;width:49.0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rPr>
                    </w:pPr>
                    <w:bookmarkStart w:id="1" w:name="bkFooterDocID"/>
                    <w:bookmarkEnd w:id="1"/>
                    <w:r>
                      <w:rPr>
                        <w:rStyle w:val="DocID"/>
                      </w:rPr>
                      <w:fldChar w:fldCharType="begin"/>
                    </w:r>
                    <w:r>
                      <w:rPr>
                        <w:rStyle w:val="DocID"/>
                      </w:rPr>
                      <w:instrText xml:space="preserve"> DOCPROPERTY "Cus_DocIDValue"</w:instrText>
                    </w:r>
                    <w:r>
                      <w:rPr>
                        <w:rStyle w:val="DocID"/>
                      </w:rPr>
                      <w:fldChar w:fldCharType="separate"/>
                    </w:r>
                    <w:r>
                      <w:rPr>
                        <w:rStyle w:val="DocID"/>
                      </w:rPr>
                      <w:t>WAS:92260.5 </w:t>
                    </w:r>
                    <w:r>
                      <w:rPr>
                        <w:rStyle w:val="DocID"/>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Enron North America Corp.</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Pr>
    </w:pPr>
    <w:r>
      <w:rPr/>
    </w:r>
  </w:p>
  <w:p>
    <w:pPr>
      <w:pStyle w:val="Header"/>
      <w:rPr>
        <w:rStyle w:val="PageNumb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spacing w:lineRule="auto" w:line="218"/>
      <w:jc w:val="both"/>
      <w:outlineLvl w:val="0"/>
    </w:pPr>
    <w:rPr>
      <w:rFonts w:ascii="Times New Roman" w:hAnsi="Times New Roman" w:cs="Times New Roman"/>
      <w:b/>
      <w:sz w:val="22"/>
    </w:rPr>
  </w:style>
  <w:style w:type="paragraph" w:styleId="Heading2">
    <w:name w:val="heading 2"/>
    <w:basedOn w:val="Normal"/>
    <w:next w:val="Normal"/>
    <w:qFormat/>
    <w:pPr>
      <w:keepNext w:val="true"/>
      <w:widowControl/>
      <w:numPr>
        <w:ilvl w:val="1"/>
        <w:numId w:val="1"/>
      </w:numPr>
      <w:spacing w:lineRule="auto" w:line="218"/>
      <w:jc w:val="both"/>
      <w:outlineLvl w:val="1"/>
    </w:pPr>
    <w:rPr>
      <w:rFonts w:ascii="Times New Roman" w:hAnsi="Times New Roman" w:cs="Times New Roman"/>
      <w:b/>
      <w:i/>
      <w:sz w:val="22"/>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Cs w:val="24"/>
    </w:rPr>
  </w:style>
  <w:style w:type="paragraph" w:styleId="Heading8">
    <w:name w:val="heading 8"/>
    <w:basedOn w:val="Normal"/>
    <w:next w:val="Normal"/>
    <w:qFormat/>
    <w:pPr>
      <w:numPr>
        <w:ilvl w:val="7"/>
        <w:numId w:val="1"/>
      </w:numPr>
      <w:spacing w:before="240" w:after="60"/>
      <w:outlineLvl w:val="7"/>
    </w:pPr>
    <w:rPr>
      <w:i/>
      <w:iCs/>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1">
    <w:name w:val="WW8Num1z1"/>
    <w:qFormat/>
    <w:rPr>
      <w:rFonts w:ascii="Times New Roman" w:hAnsi="Times New Roman" w:cs="Times New Roman"/>
      <w:sz w:val="24"/>
    </w:rPr>
  </w:style>
  <w:style w:type="character" w:styleId="DefaultParagraphFont">
    <w:name w:val="Default Paragraph Font"/>
    <w:qFormat/>
    <w:rPr>
      <w:rFonts w:ascii="Times New Roman" w:hAnsi="Times New Roman" w:cs="Times New Roman"/>
    </w:rPr>
  </w:style>
  <w:style w:type="character" w:styleId="FootnoteCharacters">
    <w:name w:val="Footnote Characters"/>
    <w:qFormat/>
    <w:rPr>
      <w:rFonts w:ascii="Times New Roman" w:hAnsi="Times New Roman" w:cs="Times New Roman"/>
    </w:rPr>
  </w:style>
  <w:style w:type="character" w:styleId="PageNumber">
    <w:name w:val="page number"/>
    <w:basedOn w:val="DefaultParagraphFont"/>
    <w:rPr/>
  </w:style>
  <w:style w:type="character" w:styleId="DocID">
    <w:name w:val="DocID"/>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spacing w:lineRule="auto" w:line="218"/>
      <w:ind w:firstLine="720" w:start="0" w:end="0"/>
      <w:jc w:val="both"/>
    </w:pPr>
    <w:rPr>
      <w:rFonts w:ascii="Times New Roman" w:hAnsi="Times New Roman" w:cs="Times New Roman"/>
      <w:color w:val="00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imes New Roman" w:hAnsi="Times New Roman" w:cs="Times New Roman"/>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rPr>
  </w:style>
  <w:style w:type="paragraph" w:styleId="TOC1">
    <w:name w:val="toc 1"/>
    <w:basedOn w:val="Normal"/>
    <w:next w:val="Normal"/>
    <w:pPr>
      <w:widowControl/>
      <w:tabs>
        <w:tab w:val="clear" w:pos="720"/>
        <w:tab w:val="right" w:pos="9360" w:leader="dot"/>
      </w:tabs>
      <w:spacing w:before="0" w:after="240"/>
      <w:ind w:hanging="720" w:start="720" w:end="0"/>
    </w:pPr>
    <w:rPr>
      <w:lang w:val="en-CA" w:eastAsia="en-CA"/>
    </w:rPr>
  </w:style>
  <w:style w:type="paragraph" w:styleId="TOC2">
    <w:name w:val="toc 2"/>
    <w:basedOn w:val="Normal"/>
    <w:next w:val="Normal"/>
    <w:pPr>
      <w:widowControl/>
      <w:tabs>
        <w:tab w:val="clear" w:pos="720"/>
        <w:tab w:val="right" w:pos="9360" w:leader="dot"/>
      </w:tabs>
      <w:spacing w:before="0" w:after="240"/>
      <w:ind w:hanging="720" w:start="1440" w:end="0"/>
    </w:pPr>
    <w:rPr>
      <w:lang w:val="en-CA" w:eastAsia="en-CA"/>
    </w:rPr>
  </w:style>
  <w:style w:type="paragraph" w:styleId="TOC3">
    <w:name w:val="toc 3"/>
    <w:basedOn w:val="Normal"/>
    <w:next w:val="Normal"/>
    <w:pPr>
      <w:widowControl/>
      <w:tabs>
        <w:tab w:val="clear" w:pos="720"/>
        <w:tab w:val="right" w:pos="9360" w:leader="dot"/>
      </w:tabs>
      <w:spacing w:before="0" w:after="240"/>
      <w:ind w:hanging="720" w:start="2160" w:end="0"/>
    </w:pPr>
    <w:rPr>
      <w:lang w:val="en-CA" w:eastAsia="en-CA"/>
    </w:rPr>
  </w:style>
  <w:style w:type="paragraph" w:styleId="BodyTextIndent2">
    <w:name w:val="Body Text Indent 2"/>
    <w:basedOn w:val="Normal"/>
    <w:qFormat/>
    <w:pPr>
      <w:widowControl/>
      <w:tabs>
        <w:tab w:val="clear" w:pos="720"/>
        <w:tab w:val="left" w:pos="-1080" w:leader="none"/>
        <w:tab w:val="left" w:pos="-720" w:leader="none"/>
        <w:tab w:val="left" w:pos="0" w:leader="none"/>
        <w:tab w:val="left" w:pos="721" w:leader="none"/>
        <w:tab w:val="left" w:pos="1442" w:leader="none"/>
        <w:tab w:val="left" w:pos="2163" w:leader="none"/>
        <w:tab w:val="left" w:pos="2884" w:leader="none"/>
        <w:tab w:val="left" w:pos="3606" w:leader="none"/>
        <w:tab w:val="left" w:pos="4320" w:leader="none"/>
        <w:tab w:val="left" w:pos="5048" w:leader="none"/>
        <w:tab w:val="left" w:pos="5760" w:leader="none"/>
        <w:tab w:val="left" w:pos="6490" w:leader="none"/>
        <w:tab w:val="left" w:pos="7212" w:leader="none"/>
        <w:tab w:val="left" w:pos="7933" w:leader="none"/>
        <w:tab w:val="left" w:pos="8654" w:leader="none"/>
        <w:tab w:val="left" w:pos="9375" w:leader="none"/>
      </w:tabs>
      <w:spacing w:lineRule="auto" w:line="233"/>
      <w:ind w:firstLine="721" w:start="0" w:end="0"/>
      <w:jc w:val="both"/>
    </w:pPr>
    <w:rPr>
      <w:rFonts w:ascii="Times New Roman" w:hAnsi="Times New Roman" w:cs="Times New Roman"/>
    </w:rPr>
  </w:style>
  <w:style w:type="paragraph" w:styleId="TOC4">
    <w:name w:val="toc 4"/>
    <w:basedOn w:val="Normal"/>
    <w:next w:val="Normal"/>
    <w:pPr>
      <w:widowControl/>
      <w:tabs>
        <w:tab w:val="clear" w:pos="720"/>
        <w:tab w:val="right" w:pos="9360" w:leader="dot"/>
      </w:tabs>
      <w:spacing w:before="0" w:after="240"/>
      <w:ind w:hanging="720" w:start="2880" w:end="0"/>
    </w:pPr>
    <w:rPr>
      <w:lang w:val="en-CA" w:eastAsia="en-CA"/>
    </w:rPr>
  </w:style>
  <w:style w:type="paragraph" w:styleId="TOC5">
    <w:name w:val="toc 5"/>
    <w:basedOn w:val="Normal"/>
    <w:next w:val="Normal"/>
    <w:pPr>
      <w:widowControl/>
      <w:tabs>
        <w:tab w:val="clear" w:pos="720"/>
        <w:tab w:val="right" w:pos="9360" w:leader="dot"/>
      </w:tabs>
      <w:spacing w:before="0" w:after="240"/>
      <w:ind w:hanging="720" w:start="3600" w:end="0"/>
    </w:pPr>
    <w:rPr>
      <w:lang w:val="en-CA" w:eastAsia="en-CA"/>
    </w:rPr>
  </w:style>
  <w:style w:type="paragraph" w:styleId="TOC6">
    <w:name w:val="toc 6"/>
    <w:basedOn w:val="Normal"/>
    <w:next w:val="Normal"/>
    <w:pPr>
      <w:widowControl/>
      <w:tabs>
        <w:tab w:val="clear" w:pos="720"/>
        <w:tab w:val="right" w:pos="9360" w:leader="dot"/>
      </w:tabs>
      <w:spacing w:before="0" w:after="240"/>
      <w:ind w:hanging="720" w:start="4320" w:end="0"/>
    </w:pPr>
    <w:rPr>
      <w:lang w:val="en-CA" w:eastAsia="en-CA"/>
    </w:rPr>
  </w:style>
  <w:style w:type="paragraph" w:styleId="TOC7">
    <w:name w:val="toc 7"/>
    <w:basedOn w:val="Normal"/>
    <w:next w:val="Normal"/>
    <w:pPr>
      <w:widowControl/>
      <w:tabs>
        <w:tab w:val="clear" w:pos="720"/>
        <w:tab w:val="left" w:pos="9360" w:leader="dot"/>
      </w:tabs>
      <w:spacing w:before="0" w:after="240"/>
      <w:ind w:hanging="720" w:start="5040" w:end="0"/>
    </w:pPr>
    <w:rPr>
      <w:lang w:val="en-CA" w:eastAsia="en-CA"/>
    </w:rPr>
  </w:style>
  <w:style w:type="paragraph" w:styleId="TOC8">
    <w:name w:val="toc 8"/>
    <w:basedOn w:val="Normal"/>
    <w:next w:val="Normal"/>
    <w:pPr>
      <w:widowControl/>
      <w:tabs>
        <w:tab w:val="clear" w:pos="720"/>
        <w:tab w:val="right" w:pos="9360" w:leader="dot"/>
      </w:tabs>
      <w:spacing w:before="0" w:after="240"/>
      <w:ind w:hanging="720" w:start="5760" w:end="0"/>
    </w:pPr>
    <w:rPr>
      <w:lang w:val="en-CA" w:eastAsia="en-CA"/>
    </w:rPr>
  </w:style>
  <w:style w:type="paragraph" w:styleId="TOC9">
    <w:name w:val="toc 9"/>
    <w:basedOn w:val="Normal"/>
    <w:next w:val="Normal"/>
    <w:pPr>
      <w:widowControl/>
      <w:tabs>
        <w:tab w:val="clear" w:pos="720"/>
        <w:tab w:val="right" w:pos="9360" w:leader="dot"/>
      </w:tabs>
      <w:spacing w:before="0" w:after="240"/>
      <w:ind w:hanging="720" w:start="6480" w:end="0"/>
    </w:pPr>
    <w:rPr>
      <w:lang w:val="en-CA" w:eastAsia="en-CA"/>
    </w:rPr>
  </w:style>
  <w:style w:type="paragraph" w:styleId="OldHeading1">
    <w:name w:val="Old Heading 1"/>
    <w:basedOn w:val="Normal"/>
    <w:qFormat/>
    <w:pPr>
      <w:keepNext w:val="true"/>
      <w:widowControl/>
      <w:spacing w:lineRule="auto" w:line="218"/>
      <w:jc w:val="both"/>
      <w:outlineLvl w:val="0"/>
    </w:pPr>
    <w:rPr>
      <w:b/>
      <w:sz w:val="22"/>
    </w:rPr>
  </w:style>
  <w:style w:type="paragraph" w:styleId="OldHeading2">
    <w:name w:val="Old Heading 2"/>
    <w:basedOn w:val="Normal"/>
    <w:qFormat/>
    <w:pPr>
      <w:keepNext w:val="true"/>
      <w:widowControl/>
      <w:spacing w:lineRule="auto" w:line="218"/>
      <w:jc w:val="both"/>
      <w:outlineLvl w:val="1"/>
    </w:pPr>
    <w:rPr>
      <w:b/>
      <w:i/>
      <w:sz w:val="22"/>
    </w:rPr>
  </w:style>
  <w:style w:type="paragraph" w:styleId="BodyTextIndent3">
    <w:name w:val="Body Text Indent 3"/>
    <w:basedOn w:val="Normal"/>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880" w:end="0"/>
      <w:jc w:val="both"/>
    </w:pPr>
    <w:rPr>
      <w:u w:val="single"/>
    </w:rPr>
  </w:style>
  <w:style w:type="paragraph" w:styleId="HTMLPreformatted">
    <w:name w:val="HTML Preformatted"/>
    <w:basedOn w:val="Normal"/>
    <w:qFormat/>
    <w:pPr>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2002-03-27T12:08:00Z</dcterms:created>
  <dc:creator>PEFS</dc:creator>
  <dc:description/>
  <dc:language>en-CA</dc:language>
  <cp:lastModifiedBy>A&amp;K</cp:lastModifiedBy>
  <cp:lastPrinted>2002-03-27T08:37:00Z</cp:lastPrinted>
  <dcterms:modified xsi:type="dcterms:W3CDTF">2002-03-27T12:08:00Z</dcterms:modified>
  <cp:revision>3</cp:revision>
  <dc:subject/>
  <dc:title>DRAFT 2/14/02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 Macro Package Integration">
    <vt:lpwstr>NONE</vt:lpwstr>
  </property>
  <property fmtid="{D5CDD505-2E9C-101B-9397-08002B2CF9AE}" pid="3" name="Converted Date">
    <vt:lpwstr>13-Feb-2002</vt:lpwstr>
  </property>
  <property fmtid="{D5CDD505-2E9C-101B-9397-08002B2CF9AE}" pid="4" name="Converted State">
    <vt:lpwstr>True</vt:lpwstr>
  </property>
  <property fmtid="{D5CDD505-2E9C-101B-9397-08002B2CF9AE}" pid="5" name="Cus_DocIDAdded">
    <vt:lpwstr>1</vt:lpwstr>
  </property>
  <property fmtid="{D5CDD505-2E9C-101B-9397-08002B2CF9AE}" pid="6" name="Cus_DocIDValue">
    <vt:lpwstr>WAS:92260.5 </vt:lpwstr>
  </property>
  <property fmtid="{D5CDD505-2E9C-101B-9397-08002B2CF9AE}" pid="7" name="Original File">
    <vt:lpwstr>C:\Documents and Settings\00345\Local Settings\Temporary Internet Files\OLKBF\StorageLeaseLettterAgree.doc</vt:lpwstr>
  </property>
  <property fmtid="{D5CDD505-2E9C-101B-9397-08002B2CF9AE}" pid="8" name="WPClean Version">
    <vt:lpwstr>2.0.0.22</vt:lpwstr>
  </property>
</Properties>
</file>