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880"/>
        <w:gridCol w:w="270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rPr>
                    <w:instrText xml:space="preserve"> FORMTEXT </w:instrText>
                  </w:r>
                  <w:r>
                    <w:rPr>
                      <w:rFonts w:cs="Arial" w:ascii="Arial" w:hAnsi="Arial"/>
                      <w:b/>
                      <w:sz w:val="20"/>
                    </w:rPr>
                  </w:r>
                  <w:r>
                    <w:rPr>
                      <w:sz w:val="20"/>
                      <w:b/>
                      <w:rFonts w:cs="Arial" w:ascii="Arial" w:hAnsi="Arial"/>
                    </w:rPr>
                    <w:fldChar w:fldCharType="separate"/>
                  </w:r>
                  <w:r>
                    <w:rPr>
                      <w:rFonts w:cs="Arial" w:ascii="Arial" w:hAnsi="Arial"/>
                      <w:b/>
                      <w:sz w:val="20"/>
                    </w:rPr>
                    <w:t>Centana Inventory Gas Sa</w:t>
                  </w:r>
                  <w:r>
                    <w:rPr>
                      <w:rFonts w:cs="Arial" w:ascii="Arial" w:hAnsi="Arial"/>
                      <w:b/>
                      <w:sz w:val="20"/>
                      <w:lang w:val="en-CA" w:eastAsia="en-CA"/>
                    </w:rPr>
                    <w:t xml:space="preserve">le </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Centana Intrastate Pipeline, LLC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Stuart Zisman</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8"/>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3"/>
                          <w:listEntry w:val="NOTE DEBTOR OR NON-DEBTOR IN BANKRUPTCY"/>
                          <w:listEntry w:val="Debtor"/>
                          <w:listEntry w:val="Non-Debtor"/>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9"/>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1"/>
                          <w:listEntry w:val="NOTE DEBTOR OR NON-DEBTOR IN BANKRUPTCY"/>
                          <w:listEntry w:val="Debtor"/>
                          <w:listEntry w:val="Non-Debtor"/>
                          <w:listEntry w:val="Vehicle"/>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1"/>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1"/>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1"/>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February 27, 2002</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3"/>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Corp Development Rep:</w:t>
                  </w:r>
                </w:p>
              </w:tc>
              <w:tc>
                <w:tcPr>
                  <w:tcW w:w="2795" w:type="dxa"/>
                  <w:tcBorders/>
                </w:tcPr>
                <w:p>
                  <w:pPr>
                    <w:pStyle w:val="Normal"/>
                    <w:ind w:end="-738"/>
                    <w:rPr>
                      <w:rFonts w:ascii="Arial" w:hAnsi="Arial" w:cs="Arial"/>
                      <w:sz w:val="20"/>
                    </w:rPr>
                  </w:pPr>
                  <w:r>
                    <w:fldChar w:fldCharType="begin">
                      <w:ffData>
                        <w:name w:val="Text13"/>
                        <w:enabled/>
                        <w:calcOnExit w:val="0"/>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Stuart Zisman</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9"/>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fldChar w:fldCharType="begin">
                      <w:ffData>
                        <w:name w:val="Dropdown2"/>
                        <w:enabled/>
                        <w:ddList>
                          <w:result w:val="7"/>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18" w:name="Dropdown2"/>
                  <w:bookmarkStart w:id="19" w:name="Dropdown2"/>
                  <w:bookmarkEnd w:id="19"/>
                  <w:r/>
                  <w:r>
                    <w:rPr>
                      <w:sz w:val="18"/>
                      <w:rFonts w:cs="Arial" w:ascii="Arial" w:hAnsi="Arial"/>
                    </w:rPr>
                    <w:fldChar w:fldCharType="end"/>
                  </w:r>
                  <w:r>
                    <w:rPr>
                      <w:rFonts w:cs="Arial" w:ascii="Arial" w:hAnsi="Arial"/>
                      <w:sz w:val="18"/>
                    </w:rPr>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Energy-Downstream Oil &amp; Gas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rPr>
                    <w:instrText xml:space="preserve"> FORMTEXT </w:instrText>
                  </w:r>
                  <w:r>
                    <w:rPr>
                      <w:rFonts w:cs="Arial" w:ascii="Arial" w:hAnsi="Arial"/>
                      <w:sz w:val="18"/>
                    </w:rPr>
                  </w:r>
                  <w:r>
                    <w:rPr>
                      <w:sz w:val="18"/>
                      <w:rFonts w:cs="Arial" w:ascii="Arial" w:hAnsi="Arial"/>
                    </w:rPr>
                    <w:fldChar w:fldCharType="separate"/>
                  </w:r>
                  <w:r>
                    <w:rPr>
                      <w:rFonts w:cs="Arial" w:ascii="Arial" w:hAnsi="Arial"/>
                      <w:sz w:val="18"/>
                    </w:rPr>
                    <w:t>United States</w:t>
                  </w:r>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88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270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
            <w:bookmarkStart w:id="21" w:name="Check1"/>
            <w:bookmarkEnd w:id="21"/>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3"/>
            <w:bookmarkStart w:id="23" w:name="Check3"/>
            <w:bookmarkEnd w:id="23"/>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snapToGrid w:val="false"/>
              <w:ind w:end="-738"/>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r>
          </w:p>
        </w:tc>
      </w:tr>
      <w:tr>
        <w:trPr>
          <w:trHeight w:val="232" w:hRule="atLeast"/>
        </w:trPr>
        <w:tc>
          <w:tcPr>
            <w:tcW w:w="2880" w:type="dxa"/>
            <w:tcBorders/>
          </w:tcPr>
          <w:p>
            <w:pPr>
              <w:pStyle w:val="Normal"/>
              <w:ind w:end="-738"/>
              <w:rPr/>
            </w:pPr>
            <w:r>
              <w:rPr>
                <w:rFonts w:cs="Arial" w:ascii="Arial" w:hAnsi="Arial"/>
                <w:color w:val="0000FF"/>
                <w:sz w:val="20"/>
              </w:rPr>
              <w:t>Creditors’ Committee Approval:</w:t>
            </w:r>
          </w:p>
        </w:tc>
        <w:tc>
          <w:tcPr>
            <w:tcW w:w="7812" w:type="dxa"/>
            <w:gridSpan w:val="3"/>
            <w:tcBorders/>
          </w:tcPr>
          <w:p>
            <w:pPr>
              <w:pStyle w:val="Normal"/>
              <w:ind w:end="-738"/>
              <w:rPr>
                <w:rFonts w:ascii="Arial" w:hAnsi="Arial" w:cs="Arial"/>
                <w:sz w:val="18"/>
              </w:rPr>
            </w:pPr>
            <w:r>
              <w:fldChar w:fldCharType="begin">
                <w:ffData>
                  <w:name w:val="Unnamed Copy 3"/>
                  <w:enabled/>
                  <w:ddList>
                    <w:result w:val="1"/>
                    <w:listEntry w:val="SELECT CREDITORS' COMMITTEE APPROVAL STATUS"/>
                    <w:listEntry w:val="Pending     "/>
                    <w:listEntry w:val="Received     "/>
                    <w:listEntry w:val="Denied     "/>
                    <w:listEntry w:val="Not Applicable"/>
                  </w:ddList>
                </w:ffData>
              </w:fldChar>
            </w:r>
            <w:r>
              <w:rPr>
                <w:sz w:val="18"/>
                <w:rFonts w:cs="Arial" w:ascii="Arial" w:hAnsi="Arial"/>
              </w:rPr>
              <w:instrText xml:space="preserve"> FORMDROPDOWN </w:instrText>
            </w:r>
            <w:r>
              <w:rPr>
                <w:sz w:val="18"/>
                <w:rFonts w:cs="Arial" w:ascii="Arial" w:hAnsi="Arial"/>
              </w:rPr>
              <w:fldChar w:fldCharType="separate"/>
            </w:r>
            <w:bookmarkStart w:id="24" w:name="Unnamed_Copy_3"/>
            <w:bookmarkStart w:id="25" w:name="Unnamed_Copy_3"/>
            <w:bookmarkEnd w:id="25"/>
            <w:r/>
            <w:r>
              <w:rPr>
                <w:sz w:val="18"/>
                <w:rFonts w:cs="Arial" w:ascii="Arial" w:hAnsi="Arial"/>
              </w:rPr>
              <w:fldChar w:fldCharType="end"/>
            </w:r>
            <w:r>
              <w:rPr>
                <w:rFonts w:cs="Arial" w:ascii="Arial" w:hAnsi="Arial"/>
                <w:sz w:val="18"/>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7812" w:type="dxa"/>
            <w:gridSpan w:val="3"/>
            <w:tcBorders/>
          </w:tcPr>
          <w:p>
            <w:pPr>
              <w:pStyle w:val="Normal"/>
              <w:ind w:end="-738"/>
              <w:rPr>
                <w:rFonts w:ascii="Arial" w:hAnsi="Arial" w:cs="Arial"/>
                <w:sz w:val="18"/>
              </w:rPr>
            </w:pPr>
            <w:r>
              <w:fldChar w:fldCharType="begin">
                <w:ffData>
                  <w:name w:val="Dropdown1"/>
                  <w:enabled/>
                  <w:ddList>
                    <w:result w:val="1"/>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6" w:name="Dropdown1"/>
            <w:bookmarkStart w:id="27" w:name="Dropdown1"/>
            <w:bookmarkEnd w:id="27"/>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APPROVAL AMOUNT REQUESTED ($000s)</w:t>
      </w:r>
    </w:p>
    <w:p>
      <w:pPr>
        <w:pStyle w:val="Normal"/>
        <w:rPr>
          <w:rFonts w:ascii="Arial" w:hAnsi="Arial" w:cs="Arial"/>
          <w:sz w:val="20"/>
        </w:rPr>
      </w:pPr>
      <w:r>
        <w:rPr>
          <w:rFonts w:cs="Arial" w:ascii="Arial" w:hAnsi="Arial"/>
          <w:sz w:val="20"/>
        </w:rPr>
        <w:t>Approval to liquidate commodity natural gas held in storage with offset for post-petition obligations and escrow for pre-petition obligations.</w:t>
      </w:r>
    </w:p>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BodyText"/>
        <w:rPr>
          <w:rFonts w:ascii="Arial" w:hAnsi="Arial" w:cs="Arial"/>
          <w:color w:val="000000"/>
          <w:sz w:val="20"/>
        </w:rPr>
      </w:pPr>
      <w:r>
        <w:rPr>
          <w:rFonts w:cs="Arial" w:ascii="Arial" w:hAnsi="Arial"/>
          <w:color w:val="000000"/>
          <w:sz w:val="20"/>
        </w:rPr>
        <w:t xml:space="preserve">The proposed transaction is a self-funding satisfaction of ENA’s obligation to pay post petition storage demand charges to CIPCO.  These charges total approximately $320,000 (for the period of 12/3/01 through the end of February) . ENA is not contesting its obligations under the Storage Agreement.  CIPCO has agreed to purchase all of ENA’s storage inventory at the spot purchase price (at the date of closure of the contemplated transaction discussed herein) as published in Gas Daily’s “Daily Price Survey” in the midpoint column under the section titled “East-Houston-Katy, Houston Ship Channel” less three cents ($0.03) per MMBtu.  The sale proceeds payable to ENA will be reduced by the amount of ENA’s post petition storage demand charges owed to CIPICO. </w:t>
      </w:r>
    </w:p>
    <w:p>
      <w:pPr>
        <w:pStyle w:val="BodyText"/>
        <w:rPr>
          <w:rFonts w:ascii="Arial" w:hAnsi="Arial" w:cs="Arial"/>
          <w:color w:val="000000"/>
          <w:sz w:val="20"/>
        </w:rPr>
      </w:pPr>
      <w:r>
        <w:rPr>
          <w:rFonts w:cs="Arial" w:ascii="Arial" w:hAnsi="Arial"/>
          <w:color w:val="000000"/>
          <w:sz w:val="20"/>
        </w:rPr>
      </w:r>
    </w:p>
    <w:p>
      <w:pPr>
        <w:pStyle w:val="BodyText"/>
        <w:rPr>
          <w:rFonts w:ascii="Arial" w:hAnsi="Arial" w:cs="Arial"/>
          <w:color w:val="000000"/>
          <w:sz w:val="20"/>
        </w:rPr>
      </w:pPr>
      <w:r>
        <w:rPr>
          <w:rFonts w:cs="Arial" w:ascii="Arial" w:hAnsi="Arial"/>
          <w:color w:val="000000"/>
          <w:sz w:val="20"/>
        </w:rPr>
        <w:t>In addition, pre-petition amounts are owed to CIPCO ($224,000 is the amount of pre-petition storage payments that is owed - the September bill was paid and therefore this amount represents lease payments for October, November and the first two days of December).  As part of the proposed transaction, the pre-petition lease payments will be placed directly into escrow by CIPCO (and the sales proceeds payable to ENA reduced accordingly) pending an agreement amongst the parties regarding the ultimate disposition of those proceeds.  CIPCO has articulated its belief that it ENA’s pre-petition obligations under the Storage Agreement are secured by a statutory lien on the gas in storage.  Per the terms of the proposed transaction with CIPCO, CIPCO would retain whatever lien rights it had on the gas in storage on the $224,000 in escrow.  As an aside, CIPCO has expressed a willingness to discount the pre-petition demand charges of $244,000 in an effort to settle our disagreement on the status (secured vs unsecured) status of their pre-petition claims.  Enron’s counsel is currently reviewing the validity of CIPCO’s assertion, which is critical in determining the appropriate exit strategy for settlement of pre-petition demand charges. Nevertheless, the existing deal structure allows ENA to sell gas (eliminating commodity risk) without resolving the pre petition issue.</w:t>
      </w:r>
    </w:p>
    <w:p>
      <w:pPr>
        <w:pStyle w:val="Normal"/>
        <w:rPr>
          <w:rFonts w:ascii="Arial" w:hAnsi="Arial" w:cs="Arial"/>
          <w:color w:val="000000"/>
          <w:sz w:val="20"/>
        </w:rPr>
      </w:pPr>
      <w:r>
        <w:rPr>
          <w:rFonts w:cs="Arial" w:ascii="Arial" w:hAnsi="Arial"/>
          <w:color w:val="000000"/>
          <w:sz w:val="20"/>
        </w:rPr>
      </w:r>
    </w:p>
    <w:p>
      <w:pPr>
        <w:pStyle w:val="Heading2"/>
        <w:pBdr>
          <w:top w:val="single" w:sz="8" w:space="1" w:color="000000"/>
        </w:pBdr>
        <w:ind w:hanging="0" w:start="0"/>
        <w:rPr>
          <w:rFonts w:ascii="Arial" w:hAnsi="Arial" w:cs="Arial"/>
          <w:b w:val="false"/>
          <w:bCs/>
          <w:i w:val="false"/>
          <w:i w:val="false"/>
          <w:iCs/>
        </w:rPr>
      </w:pPr>
      <w:r>
        <w:rPr>
          <w:rFonts w:cs="Arial" w:ascii="Arial" w:hAnsi="Arial"/>
          <w:i w:val="false"/>
          <w:iCs/>
        </w:rPr>
        <w:t xml:space="preserve">OWNERSHIP STRUCTURE </w:t>
      </w:r>
    </w:p>
    <w:p>
      <w:pPr>
        <w:pStyle w:val="BodyText"/>
        <w:rPr>
          <w:rFonts w:ascii="Arial" w:hAnsi="Arial" w:cs="Arial"/>
          <w:color w:val="000000"/>
          <w:sz w:val="20"/>
        </w:rPr>
      </w:pPr>
      <w:r>
        <w:rPr>
          <w:rFonts w:cs="Arial" w:ascii="Arial" w:hAnsi="Arial"/>
          <w:color w:val="000000"/>
          <w:sz w:val="20"/>
        </w:rPr>
        <w:t>This gas in storage is owned directly by Enron North America.</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 ($000s)</w:t>
      </w:r>
    </w:p>
    <w:tbl>
      <w:tblPr>
        <w:tblW w:w="10170" w:type="dxa"/>
        <w:jc w:val="start"/>
        <w:tblInd w:w="378" w:type="dxa"/>
        <w:tblLayout w:type="fixed"/>
        <w:tblCellMar>
          <w:top w:w="0" w:type="dxa"/>
          <w:start w:w="108" w:type="dxa"/>
          <w:bottom w:w="0" w:type="dxa"/>
          <w:end w:w="108" w:type="dxa"/>
        </w:tblCellMar>
      </w:tblPr>
      <w:tblGrid>
        <w:gridCol w:w="2610"/>
        <w:gridCol w:w="1440"/>
        <w:gridCol w:w="239"/>
        <w:gridCol w:w="4981"/>
        <w:gridCol w:w="900"/>
      </w:tblGrid>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981" w:type="dxa"/>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tcBorders/>
          </w:tcPr>
          <w:p>
            <w:pPr>
              <w:pStyle w:val="Normal"/>
              <w:jc w:val="end"/>
              <w:rPr>
                <w:rFonts w:ascii="Arial" w:hAnsi="Arial" w:cs="Arial"/>
                <w:sz w:val="20"/>
                <w:u w:val="single"/>
              </w:rPr>
            </w:pPr>
            <w:r>
              <w:rPr>
                <w:rFonts w:cs="Arial" w:ascii="Arial" w:hAnsi="Arial"/>
                <w:sz w:val="20"/>
                <w:u w:val="single"/>
              </w:rPr>
              <w:t>Uses</w:t>
            </w:r>
          </w:p>
        </w:tc>
      </w:tr>
      <w:tr>
        <w:trPr/>
        <w:tc>
          <w:tcPr>
            <w:tcW w:w="2610" w:type="dxa"/>
            <w:tcBorders/>
          </w:tcPr>
          <w:p>
            <w:pPr>
              <w:pStyle w:val="Normal"/>
              <w:rPr>
                <w:rFonts w:ascii="Arial" w:hAnsi="Arial" w:cs="Arial"/>
                <w:sz w:val="20"/>
              </w:rPr>
            </w:pPr>
            <w:r>
              <w:rPr>
                <w:rFonts w:cs="Arial" w:ascii="Arial" w:hAnsi="Arial"/>
                <w:sz w:val="20"/>
              </w:rPr>
              <w:t>Sale Proceeds</w:t>
            </w:r>
          </w:p>
        </w:tc>
        <w:tc>
          <w:tcPr>
            <w:tcW w:w="1440" w:type="dxa"/>
            <w:tcBorders/>
          </w:tcPr>
          <w:p>
            <w:pPr>
              <w:pStyle w:val="Normal"/>
              <w:jc w:val="end"/>
              <w:rPr>
                <w:rFonts w:ascii="Arial" w:hAnsi="Arial" w:cs="Arial"/>
                <w:sz w:val="20"/>
              </w:rPr>
            </w:pPr>
            <w:r>
              <w:rPr>
                <w:rFonts w:cs="Arial" w:ascii="Arial" w:hAnsi="Arial"/>
                <w:sz w:val="20"/>
              </w:rPr>
              <w:t>2,286</w:t>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tcBorders/>
          </w:tcPr>
          <w:p>
            <w:pPr>
              <w:pStyle w:val="Header"/>
              <w:widowControl/>
              <w:tabs>
                <w:tab w:val="clear" w:pos="4320"/>
                <w:tab w:val="clear" w:pos="8640"/>
              </w:tabs>
              <w:rPr>
                <w:rFonts w:ascii="Arial" w:hAnsi="Arial" w:cs="Arial"/>
              </w:rPr>
            </w:pPr>
            <w:r>
              <w:rPr>
                <w:rFonts w:cs="Arial" w:ascii="Arial" w:hAnsi="Arial"/>
              </w:rPr>
              <w:t>Distribution to Bankruptcy Estate</w:t>
            </w:r>
          </w:p>
        </w:tc>
        <w:tc>
          <w:tcPr>
            <w:tcW w:w="900" w:type="dxa"/>
            <w:tcBorders/>
          </w:tcPr>
          <w:p>
            <w:pPr>
              <w:pStyle w:val="Normal"/>
              <w:jc w:val="end"/>
              <w:rPr>
                <w:rFonts w:ascii="Arial" w:hAnsi="Arial" w:cs="Arial"/>
                <w:sz w:val="20"/>
              </w:rPr>
            </w:pPr>
            <w:r>
              <w:rPr>
                <w:rFonts w:cs="Arial" w:ascii="Arial" w:hAnsi="Arial"/>
                <w:sz w:val="20"/>
              </w:rPr>
              <w:t>1,742</w:t>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tcBorders/>
          </w:tcPr>
          <w:p>
            <w:pPr>
              <w:pStyle w:val="Header"/>
              <w:widowControl/>
              <w:tabs>
                <w:tab w:val="clear" w:pos="4320"/>
                <w:tab w:val="clear" w:pos="8640"/>
              </w:tabs>
              <w:rPr>
                <w:rFonts w:ascii="Arial" w:hAnsi="Arial" w:cs="Arial"/>
              </w:rPr>
            </w:pPr>
            <w:r>
              <w:rPr>
                <w:rFonts w:cs="Arial" w:ascii="Arial" w:hAnsi="Arial"/>
              </w:rPr>
              <w:t>Payment of Post-Petition Obligations</w:t>
            </w:r>
          </w:p>
        </w:tc>
        <w:tc>
          <w:tcPr>
            <w:tcW w:w="900" w:type="dxa"/>
            <w:tcBorders/>
          </w:tcPr>
          <w:p>
            <w:pPr>
              <w:pStyle w:val="Normal"/>
              <w:jc w:val="end"/>
              <w:rPr>
                <w:rFonts w:ascii="Arial" w:hAnsi="Arial" w:cs="Arial"/>
                <w:sz w:val="20"/>
              </w:rPr>
            </w:pPr>
            <w:r>
              <w:rPr>
                <w:rFonts w:cs="Arial" w:ascii="Arial" w:hAnsi="Arial"/>
                <w:sz w:val="20"/>
              </w:rPr>
              <w:t>320</w:t>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tcBorders/>
          </w:tcPr>
          <w:p>
            <w:pPr>
              <w:pStyle w:val="Header"/>
              <w:widowControl/>
              <w:tabs>
                <w:tab w:val="clear" w:pos="4320"/>
                <w:tab w:val="clear" w:pos="8640"/>
              </w:tabs>
              <w:rPr>
                <w:rFonts w:ascii="Arial" w:hAnsi="Arial" w:cs="Arial"/>
              </w:rPr>
            </w:pPr>
            <w:r>
              <w:rPr>
                <w:rFonts w:cs="Arial" w:ascii="Arial" w:hAnsi="Arial"/>
              </w:rPr>
              <w:t>Escrow of Pre-Petition Obligations</w:t>
            </w:r>
          </w:p>
        </w:tc>
        <w:tc>
          <w:tcPr>
            <w:tcW w:w="900" w:type="dxa"/>
            <w:tcBorders/>
          </w:tcPr>
          <w:p>
            <w:pPr>
              <w:pStyle w:val="Normal"/>
              <w:jc w:val="end"/>
              <w:rPr>
                <w:rFonts w:ascii="Arial" w:hAnsi="Arial" w:cs="Arial"/>
                <w:sz w:val="20"/>
              </w:rPr>
            </w:pPr>
            <w:r>
              <w:rPr>
                <w:rFonts w:cs="Arial" w:ascii="Arial" w:hAnsi="Arial"/>
                <w:sz w:val="20"/>
              </w:rPr>
              <w:t>224</w:t>
            </w:r>
          </w:p>
        </w:tc>
      </w:tr>
      <w:tr>
        <w:trPr/>
        <w:tc>
          <w:tcPr>
            <w:tcW w:w="261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tcBorders>
          </w:tcPr>
          <w:p>
            <w:pPr>
              <w:pStyle w:val="Normal"/>
              <w:jc w:val="end"/>
              <w:rPr>
                <w:rFonts w:ascii="Arial" w:hAnsi="Arial" w:cs="Arial"/>
                <w:sz w:val="20"/>
              </w:rPr>
            </w:pPr>
            <w:r>
              <w:rPr>
                <w:rFonts w:cs="Arial" w:ascii="Arial" w:hAnsi="Arial"/>
                <w:sz w:val="20"/>
              </w:rPr>
              <w:t>2,286</w:t>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tcBorders/>
          </w:tcPr>
          <w:p>
            <w:pPr>
              <w:pStyle w:val="Normal"/>
              <w:snapToGrid w:val="false"/>
              <w:jc w:val="end"/>
              <w:rPr>
                <w:rFonts w:ascii="Arial" w:hAnsi="Arial" w:cs="Arial"/>
                <w:sz w:val="20"/>
              </w:rPr>
            </w:pPr>
            <w:r>
              <w:rPr>
                <w:rFonts w:cs="Arial" w:ascii="Arial" w:hAnsi="Arial"/>
                <w:sz w:val="20"/>
              </w:rPr>
            </w:r>
          </w:p>
        </w:tc>
        <w:tc>
          <w:tcPr>
            <w:tcW w:w="900" w:type="dxa"/>
            <w:tcBorders>
              <w:top w:val="single" w:sz="6" w:space="0" w:color="000000"/>
            </w:tcBorders>
          </w:tcPr>
          <w:p>
            <w:pPr>
              <w:pStyle w:val="Normal"/>
              <w:jc w:val="end"/>
              <w:rPr>
                <w:rFonts w:ascii="Arial" w:hAnsi="Arial" w:cs="Arial"/>
                <w:sz w:val="20"/>
              </w:rPr>
            </w:pPr>
            <w:r>
              <w:rPr>
                <w:rFonts w:cs="Arial" w:ascii="Arial" w:hAnsi="Arial"/>
                <w:sz w:val="20"/>
              </w:rPr>
              <w:t>2,286</w:t>
            </w:r>
          </w:p>
        </w:tc>
      </w:tr>
    </w:tbl>
    <w:p>
      <w:pPr>
        <w:pStyle w:val="Heading2"/>
        <w:numPr>
          <w:ilvl w:val="0"/>
          <w:numId w:val="4"/>
        </w:numPr>
        <w:tabs>
          <w:tab w:val="clear" w:pos="720"/>
          <w:tab w:val="left" w:pos="5580" w:leader="none"/>
        </w:tabs>
        <w:rPr>
          <w:rFonts w:ascii="Arial" w:hAnsi="Arial" w:cs="Arial"/>
          <w:b w:val="false"/>
          <w:bCs/>
          <w:i w:val="false"/>
          <w:i w:val="false"/>
          <w:iCs/>
        </w:rPr>
      </w:pPr>
      <w:r>
        <w:rPr>
          <w:rFonts w:cs="Arial" w:ascii="Arial" w:hAnsi="Arial"/>
          <w:b w:val="false"/>
          <w:bCs/>
          <w:i w:val="false"/>
          <w:iCs/>
        </w:rPr>
        <w:t>Timing of receipt of funds</w:t>
      </w:r>
    </w:p>
    <w:p>
      <w:pPr>
        <w:pStyle w:val="Normal"/>
        <w:rPr>
          <w:rFonts w:ascii="Arial" w:hAnsi="Arial" w:cs="Arial"/>
          <w:b/>
          <w:bCs/>
          <w:i/>
          <w:i/>
          <w:iCs/>
        </w:rPr>
      </w:pPr>
      <w:r>
        <w:rPr>
          <w:rFonts w:cs="Arial" w:ascii="Arial" w:hAnsi="Arial"/>
          <w:b/>
          <w:bCs/>
          <w:i/>
          <w:iCs/>
        </w:rPr>
      </w:r>
    </w:p>
    <w:p>
      <w:pPr>
        <w:pStyle w:val="Normal"/>
        <w:rPr/>
      </w:pPr>
      <w:r>
        <w:rPr/>
      </w:r>
    </w:p>
    <w:p>
      <w:pPr>
        <w:pStyle w:val="Normal"/>
        <w:rPr/>
      </w:pPr>
      <w:r>
        <w:rPr/>
      </w:r>
    </w:p>
    <w:p>
      <w:pPr>
        <w:pStyle w:val="Normal"/>
        <w:rPr/>
      </w:pPr>
      <w:r>
        <w:rPr/>
      </w:r>
    </w:p>
    <w:p>
      <w:pPr>
        <w:pStyle w:val="Heading2"/>
        <w:pBdr>
          <w:top w:val="single" w:sz="8" w:space="1" w:color="000000"/>
        </w:pBdr>
        <w:tabs>
          <w:tab w:val="clear" w:pos="720"/>
          <w:tab w:val="left" w:pos="5580" w:leader="none"/>
        </w:tabs>
        <w:ind w:hanging="0" w:start="0"/>
        <w:rPr/>
      </w:pPr>
      <w:r>
        <w:rPr>
          <w:rFonts w:cs="Arial" w:ascii="Arial" w:hAnsi="Arial"/>
          <w:i w:val="false"/>
          <w:iCs/>
        </w:rPr>
        <w:t>VALUATION SUMMARY</w:t>
      </w:r>
      <w:r>
        <w:rPr>
          <w:rFonts w:cs="Arial" w:ascii="Arial" w:hAnsi="Arial"/>
          <w:b w:val="false"/>
          <w:bCs/>
          <w:i w:val="false"/>
          <w:iCs/>
        </w:rPr>
        <w:tab/>
      </w:r>
      <w:r>
        <w:rPr>
          <w:rFonts w:cs="Arial" w:ascii="Arial" w:hAnsi="Arial"/>
          <w:i w:val="false"/>
          <w:iCs/>
        </w:rPr>
        <w:tab/>
      </w:r>
    </w:p>
    <w:p>
      <w:pPr>
        <w:pStyle w:val="BodyText"/>
        <w:rPr>
          <w:rFonts w:ascii="Arial" w:hAnsi="Arial" w:cs="Arial"/>
          <w:color w:val="000000"/>
          <w:sz w:val="20"/>
        </w:rPr>
      </w:pPr>
      <w:r>
        <w:rPr>
          <w:rFonts w:cs="Arial" w:ascii="Arial" w:hAnsi="Arial"/>
          <w:color w:val="000000"/>
          <w:sz w:val="20"/>
        </w:rPr>
        <w:t>The value of the gas in the storage facility is  $2,286,000 based on current pricing of $2.30 per MMBtu.  The  discount of $0.03 to index reflects the basis differential between gas in ground at Spindletop, Texas and the Houston Ship Channel.</w:t>
      </w:r>
    </w:p>
    <w:p>
      <w:pPr>
        <w:pStyle w:val="BodyText"/>
        <w:rPr>
          <w:rFonts w:ascii="Arial" w:hAnsi="Arial" w:cs="Arial"/>
          <w:color w:val="000000"/>
          <w:sz w:val="20"/>
        </w:rPr>
      </w:pPr>
      <w:r>
        <w:rPr>
          <w:rFonts w:cs="Arial" w:ascii="Arial" w:hAnsi="Arial"/>
          <w:color w:val="000000"/>
          <w:sz w:val="20"/>
        </w:rPr>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t>See Valuation Summary and Deal Description.</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rPr>
      </w:pPr>
      <w:r>
        <w:rPr>
          <w:rFonts w:cs="Arial" w:ascii="Arial" w:hAnsi="Arial"/>
        </w:rPr>
        <w:t>CASH FLOWS</w:t>
      </w:r>
    </w:p>
    <w:p>
      <w:pPr>
        <w:pStyle w:val="Heading1"/>
        <w:pBdr>
          <w:top w:val="single" w:sz="8" w:space="1" w:color="000000"/>
        </w:pBdr>
        <w:ind w:hanging="0" w:start="0" w:end="-36"/>
        <w:rPr>
          <w:rFonts w:ascii="Arial" w:hAnsi="Arial" w:cs="Arial"/>
          <w:b w:val="false"/>
          <w:bCs/>
        </w:rPr>
      </w:pPr>
      <w:r>
        <w:rPr>
          <w:rFonts w:cs="Arial" w:ascii="Arial" w:hAnsi="Arial"/>
          <w:b w:val="false"/>
          <w:bCs/>
        </w:rPr>
        <w:t>See Sources and Uses.  All proceeds and disbursements to be paid on Closing Date.</w:t>
      </w:r>
    </w:p>
    <w:p>
      <w:pPr>
        <w:pStyle w:val="Normal"/>
        <w:rPr>
          <w:rFonts w:ascii="Arial" w:hAnsi="Arial" w:cs="Arial"/>
          <w:b/>
          <w:bCs/>
          <w:sz w:val="20"/>
        </w:rPr>
      </w:pPr>
      <w:r>
        <w:rPr>
          <w:rFonts w:cs="Arial" w:ascii="Arial" w:hAnsi="Arial"/>
          <w:b/>
          <w:bCs/>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Currently, ENA is exposed to price fluctuations for the storage inventory while it continues to accrue additional post petition demand charges on an asset (the right to use the storage facility) the estate cannot trade around due to third party credit concerns.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Cost Mitigation</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The transaction contemplated allows the estate to (i) immediately realize the value for 100% of the storage gas and (ii) avoid any withdraw and/or transportation charges to bring the gas to market as it is being sold in the ground.</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Cash equal to 100% of pre-petition obligations will be held in escrow, indefinitely, pending settlement.</w:t>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rFonts w:ascii="Arial" w:hAnsi="Arial" w:cs="Arial"/>
          <w:b w:val="false"/>
          <w:bCs/>
          <w:i w:val="false"/>
          <w:i w:val="false"/>
          <w:iCs/>
        </w:rPr>
      </w:pPr>
      <w:r>
        <w:rPr>
          <w:rFonts w:cs="Arial" w:ascii="Arial" w:hAnsi="Arial"/>
          <w:i w:val="false"/>
          <w:iCs/>
        </w:rPr>
        <w:t>LEGAL RISK MEMO</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4" w:space="1" w:color="000000"/>
        </w:pBdr>
        <w:rPr>
          <w:rFonts w:ascii="Arial" w:hAnsi="Arial" w:cs="Arial"/>
          <w:b/>
          <w:sz w:val="20"/>
        </w:rPr>
      </w:pPr>
      <w:r>
        <w:rPr>
          <w:rFonts w:cs="Arial" w:ascii="Arial" w:hAnsi="Arial"/>
          <w:b/>
          <w:sz w:val="20"/>
        </w:rPr>
        <w:t>TAX MATTERS</w:t>
      </w:r>
    </w:p>
    <w:p>
      <w:pPr>
        <w:pStyle w:val="Normal"/>
        <w:numPr>
          <w:ilvl w:val="0"/>
          <w:numId w:val="5"/>
        </w:numPr>
        <w:autoSpaceDE w:val="false"/>
        <w:ind w:hanging="380" w:start="760" w:end="0"/>
        <w:rPr>
          <w:rFonts w:ascii="Arial" w:hAnsi="Arial" w:cs="Arial"/>
          <w:sz w:val="20"/>
          <w:szCs w:val="20"/>
        </w:rPr>
      </w:pPr>
      <w:r>
        <w:rPr>
          <w:rFonts w:cs="Arial" w:ascii="Arial" w:hAnsi="Arial"/>
          <w:sz w:val="20"/>
          <w:szCs w:val="20"/>
        </w:rPr>
        <w:t>Tax gain or loss</w:t>
      </w:r>
    </w:p>
    <w:p>
      <w:pPr>
        <w:pStyle w:val="Normal"/>
        <w:numPr>
          <w:ilvl w:val="0"/>
          <w:numId w:val="5"/>
        </w:numPr>
        <w:autoSpaceDE w:val="false"/>
        <w:ind w:hanging="380" w:start="760" w:end="0"/>
        <w:rPr>
          <w:rFonts w:ascii="Arial" w:hAnsi="Arial" w:cs="Arial"/>
          <w:sz w:val="20"/>
          <w:szCs w:val="20"/>
        </w:rPr>
      </w:pPr>
      <w:r>
        <w:rPr>
          <w:rFonts w:cs="Arial" w:ascii="Arial" w:hAnsi="Arial"/>
          <w:sz w:val="20"/>
          <w:szCs w:val="20"/>
        </w:rPr>
        <w:t>Character (i.e., ordinary of capital) of tax gain or loss</w:t>
      </w:r>
    </w:p>
    <w:p>
      <w:pPr>
        <w:pStyle w:val="Normal"/>
        <w:numPr>
          <w:ilvl w:val="0"/>
          <w:numId w:val="5"/>
        </w:numPr>
        <w:autoSpaceDE w:val="false"/>
        <w:ind w:hanging="380" w:start="760" w:end="0"/>
        <w:rPr>
          <w:rFonts w:ascii="Arial" w:hAnsi="Arial" w:cs="Arial"/>
          <w:sz w:val="20"/>
          <w:szCs w:val="20"/>
        </w:rPr>
      </w:pPr>
      <w:r>
        <w:rPr>
          <w:rFonts w:cs="Arial" w:ascii="Arial" w:hAnsi="Arial"/>
          <w:sz w:val="20"/>
          <w:szCs w:val="20"/>
        </w:rPr>
        <w:t>Current tax cash outlay</w:t>
      </w:r>
    </w:p>
    <w:p>
      <w:pPr>
        <w:pStyle w:val="Normal"/>
        <w:numPr>
          <w:ilvl w:val="0"/>
          <w:numId w:val="5"/>
        </w:numPr>
        <w:autoSpaceDE w:val="false"/>
        <w:ind w:hanging="380" w:start="760" w:end="0"/>
        <w:rPr>
          <w:rFonts w:ascii="Arial" w:hAnsi="Arial" w:cs="Arial"/>
          <w:sz w:val="20"/>
          <w:szCs w:val="20"/>
        </w:rPr>
      </w:pPr>
      <w:r>
        <w:rPr>
          <w:rFonts w:cs="Arial" w:ascii="Arial" w:hAnsi="Arial"/>
          <w:sz w:val="20"/>
          <w:szCs w:val="20"/>
        </w:rPr>
        <w:t>Tax indemnities</w:t>
      </w:r>
    </w:p>
    <w:p>
      <w:pPr>
        <w:pStyle w:val="Normal"/>
        <w:numPr>
          <w:ilvl w:val="0"/>
          <w:numId w:val="5"/>
        </w:numPr>
        <w:autoSpaceDE w:val="false"/>
        <w:ind w:hanging="380" w:start="760" w:end="0"/>
        <w:rPr>
          <w:rFonts w:ascii="Arial" w:hAnsi="Arial" w:cs="Arial"/>
          <w:sz w:val="20"/>
          <w:szCs w:val="20"/>
        </w:rPr>
      </w:pPr>
      <w:r>
        <w:rPr>
          <w:rFonts w:cs="Arial" w:ascii="Arial" w:hAnsi="Arial"/>
          <w:sz w:val="20"/>
          <w:szCs w:val="20"/>
        </w:rPr>
        <w:t>Transaction taxes</w:t>
      </w:r>
    </w:p>
    <w:p>
      <w:pPr>
        <w:pStyle w:val="Normal"/>
        <w:rPr>
          <w:rFonts w:ascii="Arial" w:hAnsi="Arial" w:cs="Arial"/>
          <w:b/>
          <w:sz w:val="20"/>
          <w:szCs w:val="20"/>
        </w:rPr>
      </w:pPr>
      <w:r>
        <w:rPr>
          <w:rFonts w:cs="Arial" w:ascii="Arial" w:hAnsi="Arial"/>
          <w:b/>
          <w:sz w:val="20"/>
          <w:szCs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3"/>
        </w:numPr>
        <w:rPr>
          <w:rFonts w:ascii="Arial" w:hAnsi="Arial" w:cs="Arial"/>
          <w:bCs/>
          <w:sz w:val="20"/>
        </w:rPr>
      </w:pPr>
      <w:r>
        <w:rPr>
          <w:rFonts w:cs="Arial" w:ascii="Arial" w:hAnsi="Arial"/>
          <w:bCs/>
          <w:sz w:val="20"/>
        </w:rPr>
        <w:t>Creditors Committee Advisor’s Review</w:t>
      </w:r>
    </w:p>
    <w:p>
      <w:pPr>
        <w:pStyle w:val="Normal"/>
        <w:numPr>
          <w:ilvl w:val="0"/>
          <w:numId w:val="3"/>
        </w:numPr>
        <w:rPr>
          <w:rFonts w:ascii="Arial" w:hAnsi="Arial" w:cs="Arial"/>
          <w:bCs/>
          <w:sz w:val="20"/>
        </w:rPr>
      </w:pPr>
      <w:r>
        <w:rPr>
          <w:rFonts w:cs="Arial" w:ascii="Arial" w:hAnsi="Arial"/>
          <w:bCs/>
          <w:sz w:val="20"/>
        </w:rPr>
        <w:t>Creditors Committee/Bankruptcy Court Approval</w:t>
      </w:r>
    </w:p>
    <w:p>
      <w:pPr>
        <w:pStyle w:val="Normal"/>
        <w:numPr>
          <w:ilvl w:val="0"/>
          <w:numId w:val="3"/>
        </w:numPr>
        <w:rPr>
          <w:rFonts w:ascii="Arial" w:hAnsi="Arial" w:cs="Arial"/>
          <w:bCs/>
          <w:sz w:val="20"/>
        </w:rPr>
      </w:pPr>
      <w:r>
        <w:rPr>
          <w:rFonts w:cs="Arial" w:ascii="Arial" w:hAnsi="Arial"/>
          <w:bCs/>
          <w:sz w:val="20"/>
        </w:rPr>
        <w:t>Other Approvals</w:t>
      </w:r>
    </w:p>
    <w:p>
      <w:pPr>
        <w:pStyle w:val="Normal"/>
        <w:numPr>
          <w:ilvl w:val="0"/>
          <w:numId w:val="3"/>
        </w:numPr>
        <w:rPr>
          <w:rFonts w:ascii="Arial" w:hAnsi="Arial" w:cs="Arial"/>
          <w:b/>
          <w:sz w:val="20"/>
        </w:rPr>
      </w:pPr>
      <w:r>
        <w:rPr>
          <w:rFonts w:cs="Arial" w:ascii="Arial" w:hAnsi="Arial"/>
          <w:bCs/>
          <w:sz w:val="20"/>
        </w:rPr>
        <w:t>Other</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Normal"/>
        <w:rPr>
          <w:rFonts w:ascii="Arial" w:hAnsi="Arial" w:cs="Arial"/>
          <w:b/>
          <w:sz w:val="20"/>
        </w:rPr>
      </w:pPr>
      <w:r>
        <w:rPr>
          <w:rFonts w:cs="Arial" w:ascii="Arial" w:hAnsi="Arial"/>
          <w:b/>
          <w:sz w:val="20"/>
        </w:rPr>
      </w:r>
    </w:p>
    <w:p>
      <w:pPr>
        <w:pStyle w:val="Normal"/>
        <w:rPr>
          <w:rFonts w:ascii="Arial" w:hAnsi="Arial" w:cs="Arial"/>
          <w:bCs/>
          <w:sz w:val="20"/>
        </w:rPr>
      </w:pPr>
      <w:r>
        <w:rPr>
          <w:rFonts w:cs="Arial" w:ascii="Arial" w:hAnsi="Arial"/>
          <w:bCs/>
          <w:sz w:val="20"/>
        </w:rPr>
        <w:t>Settlement of pre-petition amounts in escrow.</w:t>
      </w:r>
      <w:r>
        <w:br w:type="page"/>
      </w:r>
    </w:p>
    <w:p>
      <w:pPr>
        <w:pStyle w:val="Normal"/>
        <w:rPr>
          <w:rFonts w:ascii="Arial" w:hAnsi="Arial" w:cs="Arial"/>
          <w:b/>
          <w:bCs/>
          <w:sz w:val="20"/>
        </w:rPr>
      </w:pPr>
      <w:r>
        <w:rPr>
          <w:rFonts w:cs="Arial" w:ascii="Arial" w:hAnsi="Arial"/>
          <w:b/>
          <w:bCs/>
          <w:sz w:val="20"/>
        </w:rPr>
      </w:r>
    </w:p>
    <w:p>
      <w:pPr>
        <w:pStyle w:val="Heading2"/>
        <w:pBdr>
          <w:top w:val="single" w:sz="8" w:space="2"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Normal"/>
        <w:rPr/>
      </w:pPr>
      <w:r>
        <w:rPr/>
      </w:r>
    </w:p>
    <w:p>
      <w:pPr>
        <w:pStyle w:val="Heading2"/>
        <w:pBdr>
          <w:top w:val="single" w:sz="4" w:space="1" w:color="000000"/>
        </w:pBdr>
        <w:ind w:hanging="0" w:start="0"/>
        <w:rPr>
          <w:rFonts w:ascii="Arial" w:hAnsi="Arial" w:cs="Arial"/>
          <w:i w:val="false"/>
          <w:i w:val="false"/>
          <w:iCs/>
        </w:rPr>
      </w:pPr>
      <w:r>
        <w:rPr>
          <w:rFonts w:cs="Arial" w:ascii="Arial" w:hAnsi="Arial"/>
          <w:i w:val="false"/>
          <w:iCs/>
        </w:rPr>
        <w:t>KEY INTERNAL / OUTSIDE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i/>
          <w:i/>
          <w:iCs/>
          <w:sz w:val="20"/>
        </w:rPr>
      </w:pPr>
      <w:r>
        <w:rPr>
          <w:rFonts w:cs="Arial" w:ascii="Arial" w:hAnsi="Arial"/>
          <w:i/>
          <w:iCs/>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t>Internal Counsel:</w:t>
        <w:tab/>
        <w:tab/>
        <w:t>Primary_______________</w:t>
        <w:tab/>
        <w:t>Secondary_____________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Outside Counsel:</w:t>
        <w:tab/>
        <w:tab/>
        <w:t>Firm  _________________</w:t>
        <w:tab/>
        <w:t>Lead__________________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 xml:space="preserve">Blackstone Group:  </w:t>
        <w:tab/>
        <w:tab/>
        <w:t>Lead _________________</w:t>
      </w:r>
    </w:p>
    <w:p>
      <w:pPr>
        <w:pStyle w:val="Normal"/>
        <w:ind w:start="360" w:end="0"/>
        <w:rPr>
          <w:rFonts w:ascii="Arial" w:hAnsi="Arial" w:cs="Arial"/>
        </w:rPr>
      </w:pPr>
      <w:r>
        <w:rPr>
          <w:rFonts w:cs="Arial" w:ascii="Arial" w:hAnsi="Arial"/>
          <w:color w:val="000000"/>
          <w:sz w:val="20"/>
        </w:rPr>
        <w:t xml:space="preserve">Bachelder &amp; Partners:  </w:t>
        <w:tab/>
        <w:t>Lead _________________</w:t>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cs="Arial"/>
                <w:sz w:val="20"/>
              </w:rPr>
            </w:pPr>
            <w:r>
              <w:rPr>
                <w:rFonts w:cs="Arial" w:ascii="Arial" w:hAnsi="Arial"/>
                <w:sz w:val="20"/>
              </w:rPr>
              <w:t>Stuart Zisman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Kay Mann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Don Miller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 xml:space="preserve">Corp Transaction Review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pacing w:before="120" w:after="0"/>
              <w:rPr>
                <w:rFonts w:ascii="Arial" w:hAnsi="Arial" w:cs="Arial"/>
                <w:sz w:val="20"/>
              </w:rPr>
            </w:pPr>
            <w:r>
              <w:rPr>
                <w:rFonts w:cs="Arial" w:ascii="Arial" w:hAnsi="Arial"/>
                <w:sz w:val="20"/>
              </w:rPr>
              <w:t>David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Ray Bowen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Office of the CEO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Jeff McMahon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2"/>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Creditors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CentanaDASH022702.doc</w:t>
          </w:r>
          <w:r>
            <w:rPr>
              <w:sz w:val="16"/>
              <w:b/>
              <w:rFonts w:cs="Arial" w:ascii="Arial" w:hAnsi="Arial"/>
            </w:rPr>
            <w:fldChar w:fldCharType="end"/>
          </w:r>
          <w:r>
            <w:rPr>
              <w:rFonts w:cs="Arial" w:ascii="Arial" w:hAnsi="Arial"/>
              <w:b/>
              <w:sz w:val="16"/>
            </w:rPr>
            <w:t>8</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St25z0">
    <w:name w:val="WW8NumSt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2002-02-27T14:13:00Z</dcterms:created>
  <dc:creator>kjolly</dc:creator>
  <dc:description>V3.3
Updated to add filename to headers
</dc:description>
  <dc:language>en-CA</dc:language>
  <cp:lastModifiedBy>cschneid</cp:lastModifiedBy>
  <cp:lastPrinted>2002-02-27T10:23:00Z</cp:lastPrinted>
  <dcterms:modified xsi:type="dcterms:W3CDTF">2002-02-27T14:25:00Z</dcterms:modified>
  <cp:revision>5</cp:revision>
  <dc:subject/>
  <dc:title>ENRON RISK ASSESSMENT AND CONTROL</dc:title>
</cp:coreProperties>
</file>