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Canada Government Affairs Priorities – 2000</w:t>
      </w:r>
    </w:p>
    <w:p>
      <w:pPr>
        <w:pStyle w:val="Normal"/>
        <w:jc w:val="both"/>
        <w:rPr/>
      </w:pPr>
      <w:r>
        <w:rPr/>
      </w:r>
    </w:p>
    <w:p>
      <w:pPr>
        <w:pStyle w:val="Normal"/>
        <w:jc w:val="both"/>
        <w:rPr/>
      </w:pPr>
      <w:r>
        <w:rPr/>
      </w:r>
    </w:p>
    <w:p>
      <w:pPr>
        <w:pStyle w:val="Normal"/>
        <w:numPr>
          <w:ilvl w:val="0"/>
          <w:numId w:val="1"/>
        </w:numPr>
        <w:tabs>
          <w:tab w:val="clear" w:pos="720"/>
        </w:tabs>
        <w:ind w:hanging="540" w:start="540" w:end="0"/>
        <w:jc w:val="both"/>
        <w:rPr/>
      </w:pPr>
      <w:r>
        <w:rPr/>
        <w:t>Continued support for the ENERconnect transaction and related business opportunities in the Ontario power market (opening 2000) – focus on standard supply service rules, and refinement of wholesale market rules, “Manager” of NUG contracts.</w:t>
      </w:r>
    </w:p>
    <w:p>
      <w:pPr>
        <w:pStyle w:val="Normal"/>
        <w:ind w:hanging="540" w:start="540" w:end="0"/>
        <w:jc w:val="both"/>
        <w:rPr/>
      </w:pPr>
      <w:r>
        <w:rPr/>
      </w:r>
    </w:p>
    <w:p>
      <w:pPr>
        <w:pStyle w:val="Normal"/>
        <w:numPr>
          <w:ilvl w:val="0"/>
          <w:numId w:val="1"/>
        </w:numPr>
        <w:tabs>
          <w:tab w:val="clear" w:pos="720"/>
        </w:tabs>
        <w:ind w:hanging="540" w:start="540" w:end="0"/>
        <w:jc w:val="both"/>
        <w:rPr/>
      </w:pPr>
      <w:r>
        <w:rPr/>
        <w:t>Regulatory support for development of proposed generation projects in Alberta and Ontario:</w:t>
      </w:r>
    </w:p>
    <w:p>
      <w:pPr>
        <w:pStyle w:val="Normal"/>
        <w:jc w:val="both"/>
        <w:rPr/>
      </w:pPr>
      <w:r>
        <w:rPr/>
      </w:r>
    </w:p>
    <w:p>
      <w:pPr>
        <w:pStyle w:val="Normal"/>
        <w:ind w:start="540" w:end="0"/>
        <w:jc w:val="both"/>
        <w:rPr/>
      </w:pPr>
      <w:r>
        <w:rPr/>
        <w:t>a)  Alberta – Balzac/100 MW; Petro-Canada/180 MW</w:t>
      </w:r>
    </w:p>
    <w:p>
      <w:pPr>
        <w:pStyle w:val="Normal"/>
        <w:jc w:val="both"/>
        <w:rPr/>
      </w:pPr>
      <w:r>
        <w:rPr/>
      </w:r>
    </w:p>
    <w:p>
      <w:pPr>
        <w:pStyle w:val="BodyTextIndent"/>
        <w:jc w:val="both"/>
        <w:rPr/>
      </w:pPr>
      <w:r>
        <w:rPr/>
        <w:t>b)  Ontario – Moore Township “peaker”/160 MW, plus proposed dedicated international power line across St. Clair River to access Michigan directly</w:t>
      </w:r>
    </w:p>
    <w:p>
      <w:pPr>
        <w:pStyle w:val="Normal"/>
        <w:jc w:val="both"/>
        <w:rPr/>
      </w:pPr>
      <w:r>
        <w:rPr/>
      </w:r>
    </w:p>
    <w:p>
      <w:pPr>
        <w:pStyle w:val="Normal"/>
        <w:numPr>
          <w:ilvl w:val="0"/>
          <w:numId w:val="1"/>
        </w:numPr>
        <w:tabs>
          <w:tab w:val="clear" w:pos="720"/>
        </w:tabs>
        <w:ind w:hanging="540" w:start="540" w:end="0"/>
        <w:jc w:val="both"/>
        <w:rPr/>
      </w:pPr>
      <w:r>
        <w:rPr/>
        <w:t>Development of transmission tariffs in both Alberta and Ontario:</w:t>
      </w:r>
    </w:p>
    <w:p>
      <w:pPr>
        <w:pStyle w:val="Normal"/>
        <w:jc w:val="both"/>
        <w:rPr/>
      </w:pPr>
      <w:r>
        <w:rPr/>
      </w:r>
    </w:p>
    <w:p>
      <w:pPr>
        <w:pStyle w:val="Normal"/>
        <w:numPr>
          <w:ilvl w:val="0"/>
          <w:numId w:val="2"/>
        </w:numPr>
        <w:jc w:val="both"/>
        <w:rPr/>
      </w:pPr>
      <w:r>
        <w:rPr/>
        <w:t>Alberta – continued involvement in the AEUB proceedings regarding the redesign of ESBI’s transmission tariff.  (ESBI has proposed the recovery of embedded costs from load and generators on a 50/50 basis and the use of a locationally-based variable charge for generators.  Those proposals will have a significant impact on the financial viability of Enron Canada’s generation projects and possible acquisition of PPAs (see 7 below)).</w:t>
      </w:r>
    </w:p>
    <w:p>
      <w:pPr>
        <w:pStyle w:val="Normal"/>
        <w:ind w:hanging="270" w:start="810" w:end="0"/>
        <w:jc w:val="both"/>
        <w:rPr/>
      </w:pPr>
      <w:r>
        <w:rPr/>
      </w:r>
    </w:p>
    <w:p>
      <w:pPr>
        <w:pStyle w:val="Normal"/>
        <w:ind w:hanging="360" w:start="900" w:end="0"/>
        <w:jc w:val="both"/>
        <w:rPr/>
      </w:pPr>
      <w:r>
        <w:rPr/>
        <w:t>b) Ontario – involvement in OHNC’s transmission tariff proceedings before the OEB, particularly with respect to the proposals for export service and the recovery of embedded transmission costs on a “gross load” basis.  (These proposals affect the economics of the Moore project and possible co-generation project developments at several industrial sites in southern Ontario).</w:t>
      </w:r>
    </w:p>
    <w:p>
      <w:pPr>
        <w:pStyle w:val="Normal"/>
        <w:ind w:hanging="360" w:start="900" w:end="0"/>
        <w:jc w:val="both"/>
        <w:rPr/>
      </w:pPr>
      <w:r>
        <w:rPr/>
      </w:r>
    </w:p>
    <w:p>
      <w:pPr>
        <w:pStyle w:val="BodyText"/>
        <w:numPr>
          <w:ilvl w:val="0"/>
          <w:numId w:val="1"/>
        </w:numPr>
        <w:tabs>
          <w:tab w:val="clear" w:pos="720"/>
        </w:tabs>
        <w:ind w:hanging="540" w:start="540" w:end="0"/>
        <w:rPr/>
      </w:pPr>
      <w:r>
        <w:rPr/>
        <w:t>TCPL Services and Pricing Negotiations – Enron has participated in the discussions relating to the fundamental redesign of TCPL’s tariff.  These discussions and negotiations are expected to resume in 2000.  Enron Canada and its customers have considerable financial exposure to TCPL’s tariff and, therefore, changes in the tariff design and rates have significant commercial implications for Enron.</w:t>
      </w:r>
    </w:p>
    <w:p>
      <w:pPr>
        <w:pStyle w:val="Normal"/>
        <w:ind w:hanging="540" w:start="540" w:end="0"/>
        <w:jc w:val="both"/>
        <w:rPr/>
      </w:pPr>
      <w:r>
        <w:rPr/>
      </w:r>
    </w:p>
    <w:p>
      <w:pPr>
        <w:pStyle w:val="BodyText"/>
        <w:numPr>
          <w:ilvl w:val="0"/>
          <w:numId w:val="1"/>
        </w:numPr>
        <w:tabs>
          <w:tab w:val="clear" w:pos="720"/>
        </w:tabs>
        <w:ind w:hanging="540" w:start="540" w:end="0"/>
        <w:rPr/>
      </w:pPr>
      <w:r>
        <w:rPr/>
        <w:t>Continued involvement in development/refinement of Alberta wholesale market rules (Rob Hemstock sits on the Alberta Power Pool’s Operations Committee and Market Advisory Committee) – issues to be addressed include establishment of binding day ahead market and rules governing bids into the Pool by importers.  (Enron Canada holds capacity on the BC/Alberta intertie and its commercial interests will be directly affected by rule changes).</w:t>
      </w:r>
    </w:p>
    <w:p>
      <w:pPr>
        <w:pStyle w:val="Normal"/>
        <w:ind w:hanging="540" w:start="540" w:end="0"/>
        <w:jc w:val="both"/>
        <w:rPr/>
      </w:pPr>
      <w:r>
        <w:rPr/>
      </w:r>
    </w:p>
    <w:p>
      <w:pPr>
        <w:pStyle w:val="Normal"/>
        <w:numPr>
          <w:ilvl w:val="0"/>
          <w:numId w:val="1"/>
        </w:numPr>
        <w:tabs>
          <w:tab w:val="clear" w:pos="720"/>
        </w:tabs>
        <w:ind w:hanging="540" w:start="540" w:end="0"/>
        <w:jc w:val="both"/>
        <w:rPr/>
      </w:pPr>
      <w:r>
        <w:rPr/>
        <w:t>Continued involvement in development/refinement of the wholesale market rules for Ontario (John Gorman – Enron Canada Chair - sits on IMO Board and Aleck Dadson sits on IMO Technical Panel).</w:t>
      </w:r>
    </w:p>
    <w:p>
      <w:pPr>
        <w:pStyle w:val="Normal"/>
        <w:ind w:hanging="540" w:start="540" w:end="0"/>
        <w:jc w:val="both"/>
        <w:rPr/>
      </w:pPr>
      <w:r>
        <w:rPr/>
      </w:r>
    </w:p>
    <w:p>
      <w:pPr>
        <w:pStyle w:val="Normal"/>
        <w:numPr>
          <w:ilvl w:val="0"/>
          <w:numId w:val="1"/>
        </w:numPr>
        <w:tabs>
          <w:tab w:val="clear" w:pos="720"/>
        </w:tabs>
        <w:ind w:hanging="540" w:start="540" w:end="0"/>
        <w:jc w:val="both"/>
        <w:rPr/>
      </w:pPr>
      <w:r>
        <w:rPr/>
        <w:t>Alberta Power Purchase Agreements (PPAs) – Alberta will be implementing an auction in respect of the right to the output of the existing regulated generation plants for the remaining life of those plants.  Enron Canada expects to participate in the auction and, therefore, has an interest in the discussions/proceedings relating to the design of the auction.</w:t>
      </w:r>
    </w:p>
    <w:p>
      <w:pPr>
        <w:pStyle w:val="Normal"/>
        <w:numPr>
          <w:ilvl w:val="0"/>
          <w:numId w:val="1"/>
        </w:numPr>
        <w:tabs>
          <w:tab w:val="clear" w:pos="720"/>
        </w:tabs>
        <w:ind w:hanging="540" w:start="540" w:end="0"/>
        <w:jc w:val="both"/>
        <w:rPr/>
      </w:pPr>
      <w:r>
        <w:rPr/>
        <w:t>Alberta Distribution Utility Tariff – Alberta electricity distribution utilities will be filing preliminary tariffs for consideration in a generic AEUB hearing.  That hearing will determine the terms and conditions that will govern access to the distribution system by licensed retailers serving residential, commercial and industrial customers in Alberta.  Enron Canada intends to offer services to large commercial and industrial customers; accordingly, the outcome of the hearing will directly affect the opportunity for Enron Canada to serve those customers.</w:t>
      </w:r>
    </w:p>
    <w:p>
      <w:pPr>
        <w:pStyle w:val="Normal"/>
        <w:ind w:hanging="540" w:start="540" w:end="0"/>
        <w:jc w:val="both"/>
        <w:rPr/>
      </w:pPr>
      <w:r>
        <w:rPr/>
      </w:r>
    </w:p>
    <w:p>
      <w:pPr>
        <w:pStyle w:val="Normal"/>
        <w:numPr>
          <w:ilvl w:val="0"/>
          <w:numId w:val="1"/>
        </w:numPr>
        <w:tabs>
          <w:tab w:val="clear" w:pos="720"/>
        </w:tabs>
        <w:ind w:hanging="540" w:start="540" w:end="0"/>
        <w:jc w:val="both"/>
        <w:rPr/>
      </w:pPr>
      <w:r>
        <w:rPr/>
        <w:t>Unbundling by Ontario Natural Gas Utilities – the 2 Ontario natural gas utilities (each with over 1 million customers) will pursue unbundling proposals.  Initial proposals have been circulated for stakeholder comment.  Enron Canada supports unbundling but has concerns relating to several issues, particularly the rules governing the allocation of upstream transportation.  The issue is particularly important to Enron Canada because of its portfolio management arrangements with a major natural gas retailer.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lowerLetter"/>
      <w:lvlText w:val="%1)"/>
      <w:lvlJc w:val="start"/>
      <w:pPr>
        <w:tabs>
          <w:tab w:val="num" w:pos="900"/>
        </w:tabs>
        <w:ind w:start="9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9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1999-11-04T20:39:00Z</dcterms:created>
  <dc:creator>cderecs</dc:creator>
  <dc:description/>
  <dc:language>en-CA</dc:language>
  <cp:lastModifiedBy>cderecs</cp:lastModifiedBy>
  <dcterms:modified xsi:type="dcterms:W3CDTF">1999-11-05T17:59:00Z</dcterms:modified>
  <cp:revision>9</cp:revision>
  <dc:subject/>
  <dc:title>Canada Government Affairs Priorities – 2000</dc:title>
</cp:coreProperties>
</file>